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06B8" w14:textId="0BD291B2" w:rsidR="003F43B3" w:rsidRPr="00920919" w:rsidRDefault="003F43B3" w:rsidP="003F43B3">
      <w:pPr>
        <w:spacing w:after="0" w:line="240" w:lineRule="auto"/>
      </w:pPr>
    </w:p>
    <w:p w14:paraId="282C0CC4" w14:textId="77777777" w:rsidR="003F43B3" w:rsidRPr="00920919" w:rsidRDefault="003F43B3" w:rsidP="003F43B3">
      <w:pPr>
        <w:spacing w:after="0" w:line="240" w:lineRule="auto"/>
      </w:pPr>
    </w:p>
    <w:p w14:paraId="768E47B7" w14:textId="77777777" w:rsidR="003F43B3" w:rsidRPr="00920919"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30AD8FA4" w14:textId="77777777" w:rsidTr="00444DC1">
        <w:trPr>
          <w:trHeight w:val="545"/>
          <w:jc w:val="center"/>
        </w:trPr>
        <w:tc>
          <w:tcPr>
            <w:tcW w:w="9967" w:type="dxa"/>
            <w:shd w:val="clear" w:color="auto" w:fill="002060"/>
          </w:tcPr>
          <w:p w14:paraId="61B04BCA" w14:textId="109AC8D5" w:rsidR="003F43B3" w:rsidRPr="00920919" w:rsidRDefault="003F43B3" w:rsidP="003F43B3">
            <w:pPr>
              <w:jc w:val="center"/>
              <w:rPr>
                <w:color w:val="FFFFFF" w:themeColor="background1"/>
                <w:sz w:val="72"/>
                <w:szCs w:val="72"/>
              </w:rPr>
            </w:pPr>
            <w:r w:rsidRPr="00920919">
              <w:rPr>
                <w:color w:val="FFFFFF" w:themeColor="background1"/>
                <w:sz w:val="72"/>
                <w:szCs w:val="72"/>
              </w:rPr>
              <w:t>INFORME DE</w:t>
            </w:r>
          </w:p>
          <w:p w14:paraId="562A528B" w14:textId="478DC252" w:rsidR="003F43B3" w:rsidRPr="00920919" w:rsidRDefault="003F43B3" w:rsidP="003F43B3">
            <w:pPr>
              <w:jc w:val="center"/>
              <w:rPr>
                <w:color w:val="FFFFFF" w:themeColor="background1"/>
                <w:sz w:val="96"/>
                <w:szCs w:val="96"/>
              </w:rPr>
            </w:pPr>
            <w:r w:rsidRPr="00920919">
              <w:rPr>
                <w:color w:val="FFFFFF" w:themeColor="background1"/>
                <w:sz w:val="72"/>
                <w:szCs w:val="72"/>
              </w:rPr>
              <w:t>RENDICI</w:t>
            </w:r>
            <w:r w:rsidR="00365E6D">
              <w:rPr>
                <w:color w:val="FFFFFF" w:themeColor="background1"/>
                <w:sz w:val="72"/>
                <w:szCs w:val="72"/>
              </w:rPr>
              <w:t>Ó</w:t>
            </w:r>
            <w:r w:rsidRPr="00920919">
              <w:rPr>
                <w:color w:val="FFFFFF" w:themeColor="background1"/>
                <w:sz w:val="72"/>
                <w:szCs w:val="72"/>
              </w:rPr>
              <w:t>N DE CUENTAS</w:t>
            </w:r>
          </w:p>
        </w:tc>
      </w:tr>
    </w:tbl>
    <w:p w14:paraId="344359DC" w14:textId="1FD2F319" w:rsidR="003F43B3" w:rsidRPr="00920919" w:rsidRDefault="003F43B3" w:rsidP="003F43B3">
      <w:pPr>
        <w:spacing w:after="0" w:line="240" w:lineRule="auto"/>
      </w:pPr>
    </w:p>
    <w:p w14:paraId="7AC4BAE7" w14:textId="6843324B" w:rsidR="003F43B3" w:rsidRPr="00920919" w:rsidRDefault="003F43B3" w:rsidP="003F43B3">
      <w:pPr>
        <w:spacing w:after="0" w:line="240" w:lineRule="auto"/>
      </w:pPr>
    </w:p>
    <w:p w14:paraId="74ED432E" w14:textId="77777777" w:rsidR="003F43B3" w:rsidRPr="00920919" w:rsidRDefault="003F43B3" w:rsidP="003F43B3">
      <w:pPr>
        <w:spacing w:after="0" w:line="240" w:lineRule="auto"/>
      </w:pPr>
    </w:p>
    <w:p w14:paraId="2A6FB6AA" w14:textId="77777777" w:rsidR="003F43B3" w:rsidRPr="00920919" w:rsidRDefault="003F43B3" w:rsidP="003F43B3">
      <w:pPr>
        <w:spacing w:after="0" w:line="240" w:lineRule="auto"/>
      </w:pPr>
    </w:p>
    <w:p w14:paraId="5AAF870B" w14:textId="275FC0EC" w:rsidR="003F43B3" w:rsidRPr="00920919" w:rsidRDefault="003F43B3" w:rsidP="003F43B3">
      <w:pPr>
        <w:spacing w:after="0" w:line="240" w:lineRule="auto"/>
        <w:jc w:val="center"/>
      </w:pPr>
      <w:r w:rsidRPr="00920919">
        <w:rPr>
          <w:noProof/>
          <w:lang w:eastAsia="es-CO"/>
        </w:rPr>
        <w:drawing>
          <wp:inline distT="0" distB="0" distL="0" distR="0" wp14:anchorId="6A33AAF7" wp14:editId="76E0BA0B">
            <wp:extent cx="5038725" cy="1059815"/>
            <wp:effectExtent l="0" t="0" r="9525"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059815"/>
                    </a:xfrm>
                    <a:prstGeom prst="rect">
                      <a:avLst/>
                    </a:prstGeom>
                    <a:noFill/>
                    <a:ln>
                      <a:noFill/>
                    </a:ln>
                  </pic:spPr>
                </pic:pic>
              </a:graphicData>
            </a:graphic>
          </wp:inline>
        </w:drawing>
      </w:r>
    </w:p>
    <w:p w14:paraId="1F78ED63" w14:textId="4D37370B" w:rsidR="003F43B3" w:rsidRPr="00920919" w:rsidRDefault="003F43B3" w:rsidP="003F43B3">
      <w:pPr>
        <w:spacing w:after="0" w:line="240" w:lineRule="auto"/>
        <w:jc w:val="center"/>
      </w:pPr>
    </w:p>
    <w:p w14:paraId="5A477A3C" w14:textId="41AC9A32" w:rsidR="003F43B3" w:rsidRPr="00920919" w:rsidRDefault="003F43B3" w:rsidP="003F43B3">
      <w:pPr>
        <w:spacing w:after="0" w:line="240" w:lineRule="auto"/>
        <w:jc w:val="center"/>
      </w:pPr>
    </w:p>
    <w:p w14:paraId="15A4394C" w14:textId="77777777" w:rsidR="003F43B3" w:rsidRPr="00920919" w:rsidRDefault="003F43B3" w:rsidP="003F43B3">
      <w:pPr>
        <w:spacing w:after="0" w:line="240" w:lineRule="auto"/>
        <w:jc w:val="center"/>
      </w:pPr>
    </w:p>
    <w:p w14:paraId="3E12B32A" w14:textId="47ADF01E" w:rsidR="003F43B3" w:rsidRPr="00920919" w:rsidRDefault="003F43B3" w:rsidP="003F43B3">
      <w:pPr>
        <w:spacing w:after="0" w:line="240" w:lineRule="auto"/>
        <w:jc w:val="center"/>
        <w:rPr>
          <w:color w:val="002060"/>
          <w:sz w:val="48"/>
          <w:szCs w:val="48"/>
        </w:rPr>
      </w:pPr>
      <w:r w:rsidRPr="00920919">
        <w:rPr>
          <w:color w:val="002060"/>
          <w:sz w:val="48"/>
          <w:szCs w:val="48"/>
        </w:rPr>
        <w:t>Enero – diciembre de 202</w:t>
      </w:r>
      <w:r w:rsidR="006D2425">
        <w:rPr>
          <w:color w:val="002060"/>
          <w:sz w:val="48"/>
          <w:szCs w:val="48"/>
        </w:rPr>
        <w:t>1</w:t>
      </w:r>
    </w:p>
    <w:p w14:paraId="5F1AADC5" w14:textId="5836D6E0" w:rsidR="003F43B3" w:rsidRPr="00920919" w:rsidRDefault="003F43B3" w:rsidP="003F43B3">
      <w:pPr>
        <w:spacing w:after="0" w:line="240" w:lineRule="auto"/>
        <w:jc w:val="center"/>
        <w:rPr>
          <w:color w:val="002060"/>
        </w:rPr>
      </w:pPr>
    </w:p>
    <w:p w14:paraId="4ADE270A" w14:textId="478C9867" w:rsidR="003F43B3" w:rsidRPr="00920919" w:rsidRDefault="003F43B3" w:rsidP="003F43B3">
      <w:pPr>
        <w:spacing w:after="0" w:line="240" w:lineRule="auto"/>
        <w:jc w:val="center"/>
        <w:rPr>
          <w:color w:val="002060"/>
        </w:rPr>
      </w:pPr>
    </w:p>
    <w:p w14:paraId="77BF853A" w14:textId="77777777" w:rsidR="003F43B3" w:rsidRPr="00920919"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183873BC" w14:textId="77777777" w:rsidTr="00444DC1">
        <w:tc>
          <w:tcPr>
            <w:tcW w:w="8808" w:type="dxa"/>
            <w:shd w:val="clear" w:color="auto" w:fill="002060"/>
          </w:tcPr>
          <w:p w14:paraId="20FBB00C" w14:textId="77777777" w:rsidR="003F43B3" w:rsidRPr="00920919" w:rsidRDefault="003F43B3" w:rsidP="003F43B3">
            <w:pPr>
              <w:jc w:val="center"/>
              <w:rPr>
                <w:color w:val="FFFFFF" w:themeColor="background1"/>
                <w:sz w:val="48"/>
                <w:szCs w:val="48"/>
              </w:rPr>
            </w:pPr>
          </w:p>
          <w:p w14:paraId="729D7B12" w14:textId="15A170D4" w:rsidR="003F43B3" w:rsidRPr="00920919" w:rsidRDefault="003F43B3" w:rsidP="003F43B3">
            <w:pPr>
              <w:jc w:val="center"/>
              <w:rPr>
                <w:color w:val="FFFFFF" w:themeColor="background1"/>
                <w:sz w:val="72"/>
                <w:szCs w:val="72"/>
              </w:rPr>
            </w:pPr>
            <w:r w:rsidRPr="00920919">
              <w:rPr>
                <w:color w:val="FFFFFF" w:themeColor="background1"/>
                <w:sz w:val="72"/>
                <w:szCs w:val="72"/>
              </w:rPr>
              <w:t>CONSTRUCCIÓN DE PAZ</w:t>
            </w:r>
          </w:p>
          <w:p w14:paraId="5F09DB8C" w14:textId="35A7E1F9" w:rsidR="003F43B3" w:rsidRPr="00920919" w:rsidRDefault="003F43B3" w:rsidP="003F43B3">
            <w:pPr>
              <w:rPr>
                <w:color w:val="FFFFFF" w:themeColor="background1"/>
                <w:sz w:val="48"/>
                <w:szCs w:val="48"/>
              </w:rPr>
            </w:pPr>
          </w:p>
        </w:tc>
      </w:tr>
      <w:tr w:rsidR="00444DC1" w:rsidRPr="00920919" w14:paraId="306075E5" w14:textId="77777777" w:rsidTr="00444DC1">
        <w:tc>
          <w:tcPr>
            <w:tcW w:w="8808" w:type="dxa"/>
            <w:shd w:val="clear" w:color="auto" w:fill="002060"/>
          </w:tcPr>
          <w:p w14:paraId="0F8483BF" w14:textId="77777777" w:rsidR="00444DC1" w:rsidRPr="00920919" w:rsidRDefault="00444DC1" w:rsidP="003F43B3">
            <w:pPr>
              <w:jc w:val="center"/>
              <w:rPr>
                <w:color w:val="FFFFFF" w:themeColor="background1"/>
                <w:sz w:val="48"/>
                <w:szCs w:val="48"/>
              </w:rPr>
            </w:pPr>
          </w:p>
          <w:p w14:paraId="6415B147" w14:textId="2942F98C" w:rsidR="00444DC1" w:rsidRPr="00920919" w:rsidRDefault="00834733" w:rsidP="00444DC1">
            <w:pPr>
              <w:jc w:val="center"/>
              <w:rPr>
                <w:color w:val="FFFFFF" w:themeColor="background1"/>
                <w:sz w:val="48"/>
                <w:szCs w:val="48"/>
              </w:rPr>
            </w:pPr>
            <w:r>
              <w:rPr>
                <w:noProof/>
                <w:lang w:eastAsia="es-CO"/>
              </w:rPr>
              <w:drawing>
                <wp:inline distT="0" distB="0" distL="0" distR="0" wp14:anchorId="096C3CBD" wp14:editId="1862E013">
                  <wp:extent cx="3257550" cy="523875"/>
                  <wp:effectExtent l="0" t="0" r="0" b="9525"/>
                  <wp:docPr id="3" name="Imagen 3" descr="logofirma_Mesa de trabajo 1"/>
                  <wp:cNvGraphicFramePr/>
                  <a:graphic xmlns:a="http://schemas.openxmlformats.org/drawingml/2006/main">
                    <a:graphicData uri="http://schemas.openxmlformats.org/drawingml/2006/picture">
                      <pic:pic xmlns:pic="http://schemas.openxmlformats.org/drawingml/2006/picture">
                        <pic:nvPicPr>
                          <pic:cNvPr id="1" name="Imagen 1" descr="logofirma_Mesa de trabajo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523875"/>
                          </a:xfrm>
                          <a:prstGeom prst="rect">
                            <a:avLst/>
                          </a:prstGeom>
                          <a:noFill/>
                          <a:ln>
                            <a:noFill/>
                          </a:ln>
                        </pic:spPr>
                      </pic:pic>
                    </a:graphicData>
                  </a:graphic>
                </wp:inline>
              </w:drawing>
            </w:r>
          </w:p>
          <w:p w14:paraId="190A04A2" w14:textId="5BFF16AC" w:rsidR="00444DC1" w:rsidRPr="00920919" w:rsidRDefault="00444DC1" w:rsidP="00444DC1">
            <w:pPr>
              <w:jc w:val="center"/>
              <w:rPr>
                <w:color w:val="FFFFFF" w:themeColor="background1"/>
                <w:sz w:val="48"/>
                <w:szCs w:val="48"/>
              </w:rPr>
            </w:pPr>
          </w:p>
        </w:tc>
      </w:tr>
    </w:tbl>
    <w:p w14:paraId="0FB79C59" w14:textId="6306CD5A" w:rsidR="003F43B3" w:rsidRPr="00920919" w:rsidRDefault="003F43B3" w:rsidP="003F43B3">
      <w:pPr>
        <w:spacing w:after="0" w:line="240" w:lineRule="auto"/>
        <w:jc w:val="center"/>
        <w:rPr>
          <w:sz w:val="48"/>
          <w:szCs w:val="48"/>
        </w:rPr>
      </w:pPr>
    </w:p>
    <w:p w14:paraId="483F5BAB" w14:textId="77777777" w:rsidR="003F43B3" w:rsidRPr="00920919" w:rsidRDefault="003F43B3" w:rsidP="003F43B3">
      <w:pPr>
        <w:spacing w:after="0" w:line="240" w:lineRule="auto"/>
        <w:jc w:val="center"/>
        <w:rPr>
          <w:sz w:val="24"/>
          <w:szCs w:val="24"/>
        </w:rPr>
      </w:pPr>
    </w:p>
    <w:p w14:paraId="553E75D1" w14:textId="30D3D179" w:rsidR="003F43B3" w:rsidRPr="00920919" w:rsidRDefault="00444DC1" w:rsidP="003F43B3">
      <w:pPr>
        <w:spacing w:after="0" w:line="240" w:lineRule="auto"/>
        <w:jc w:val="center"/>
        <w:rPr>
          <w:color w:val="002060"/>
          <w:sz w:val="72"/>
          <w:szCs w:val="72"/>
        </w:rPr>
      </w:pPr>
      <w:r w:rsidRPr="00920919">
        <w:rPr>
          <w:color w:val="002060"/>
          <w:sz w:val="72"/>
          <w:szCs w:val="72"/>
        </w:rPr>
        <w:lastRenderedPageBreak/>
        <w:t>Acuerdo de Paz</w:t>
      </w:r>
    </w:p>
    <w:p w14:paraId="7A7870A6" w14:textId="77777777" w:rsidR="003F43B3" w:rsidRPr="00920919" w:rsidRDefault="003F43B3" w:rsidP="003F43B3">
      <w:pPr>
        <w:spacing w:after="0" w:line="240" w:lineRule="auto"/>
        <w:jc w:val="center"/>
        <w:rPr>
          <w:sz w:val="24"/>
          <w:szCs w:val="24"/>
        </w:rPr>
      </w:pPr>
    </w:p>
    <w:p w14:paraId="6BFA6252" w14:textId="52189E87" w:rsidR="003F43B3" w:rsidRPr="00920919" w:rsidRDefault="00834733" w:rsidP="005965DF">
      <w:pPr>
        <w:spacing w:after="0" w:line="240" w:lineRule="auto"/>
        <w:jc w:val="both"/>
        <w:rPr>
          <w:sz w:val="24"/>
          <w:szCs w:val="24"/>
        </w:rPr>
      </w:pPr>
      <w:r>
        <w:rPr>
          <w:color w:val="000000"/>
          <w:sz w:val="24"/>
          <w:szCs w:val="24"/>
        </w:rPr>
        <w:t xml:space="preserve">La </w:t>
      </w:r>
      <w:r w:rsidRPr="00746492">
        <w:rPr>
          <w:color w:val="000000"/>
          <w:sz w:val="24"/>
          <w:szCs w:val="24"/>
        </w:rPr>
        <w:t>Agencia para la Reincorporación y Normalización –ARN</w:t>
      </w:r>
      <w:r>
        <w:rPr>
          <w:color w:val="000000"/>
          <w:sz w:val="24"/>
          <w:szCs w:val="24"/>
        </w:rPr>
        <w:t xml:space="preserve"> </w:t>
      </w:r>
      <w:r w:rsidR="00444DC1" w:rsidRPr="00920919">
        <w:rPr>
          <w:sz w:val="24"/>
          <w:szCs w:val="24"/>
        </w:rPr>
        <w:t>ha venido desarrollando acciones que aportan a la construcción de Paz en Colombia. Este Informe de Rendición de Cuentas present</w:t>
      </w:r>
      <w:r w:rsidR="005867FD" w:rsidRPr="00920919">
        <w:rPr>
          <w:sz w:val="24"/>
          <w:szCs w:val="24"/>
        </w:rPr>
        <w:t>a</w:t>
      </w:r>
      <w:r w:rsidR="00444DC1" w:rsidRPr="00920919">
        <w:rPr>
          <w:sz w:val="24"/>
          <w:szCs w:val="24"/>
        </w:rPr>
        <w:t xml:space="preserve"> la información de los avances de la implementación del Acuerdo de Paz adelantadas entre el 1 de enero de 202</w:t>
      </w:r>
      <w:r>
        <w:rPr>
          <w:sz w:val="24"/>
          <w:szCs w:val="24"/>
        </w:rPr>
        <w:t>1</w:t>
      </w:r>
      <w:r w:rsidR="00444DC1" w:rsidRPr="00920919">
        <w:rPr>
          <w:sz w:val="24"/>
          <w:szCs w:val="24"/>
        </w:rPr>
        <w:t xml:space="preserve"> hasta el 31 de diciembre de 202</w:t>
      </w:r>
      <w:r>
        <w:rPr>
          <w:sz w:val="24"/>
          <w:szCs w:val="24"/>
        </w:rPr>
        <w:t>1</w:t>
      </w:r>
      <w:r w:rsidR="00444DC1" w:rsidRPr="00920919">
        <w:rPr>
          <w:sz w:val="24"/>
          <w:szCs w:val="24"/>
        </w:rPr>
        <w:t>, sobre los siguientes puntos del Acuerdo:</w:t>
      </w:r>
    </w:p>
    <w:p w14:paraId="4430E398" w14:textId="1731D828" w:rsidR="005965DF" w:rsidRPr="00920919" w:rsidRDefault="005965DF" w:rsidP="005965DF">
      <w:pPr>
        <w:spacing w:after="0" w:line="240" w:lineRule="auto"/>
        <w:jc w:val="both"/>
        <w:rPr>
          <w:sz w:val="24"/>
          <w:szCs w:val="24"/>
        </w:rPr>
      </w:pPr>
    </w:p>
    <w:p w14:paraId="573A8AB7" w14:textId="1BE0D3DB" w:rsidR="00834733" w:rsidRDefault="00834733" w:rsidP="00834733">
      <w:pPr>
        <w:spacing w:after="0" w:line="240" w:lineRule="auto"/>
        <w:jc w:val="center"/>
        <w:rPr>
          <w:sz w:val="24"/>
          <w:szCs w:val="24"/>
        </w:rPr>
      </w:pPr>
      <w:r w:rsidRPr="00920919">
        <w:rPr>
          <w:rFonts w:cstheme="minorHAnsi"/>
          <w:noProof/>
          <w:lang w:eastAsia="es-CO"/>
        </w:rPr>
        <w:drawing>
          <wp:inline distT="0" distB="0" distL="0" distR="0" wp14:anchorId="1CF42F1A" wp14:editId="5EBFC518">
            <wp:extent cx="1447800" cy="1971675"/>
            <wp:effectExtent l="0" t="0" r="0" b="9525"/>
            <wp:docPr id="32"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0" cstate="print">
                      <a:extLst>
                        <a:ext uri="{28A0092B-C50C-407E-A947-70E740481C1C}">
                          <a14:useLocalDpi xmlns:a14="http://schemas.microsoft.com/office/drawing/2010/main" val="0"/>
                        </a:ext>
                      </a:extLst>
                    </a:blip>
                    <a:srcRect l="61956" t="46295" r="12236" b="26236"/>
                    <a:stretch/>
                  </pic:blipFill>
                  <pic:spPr bwMode="auto">
                    <a:xfrm>
                      <a:off x="0" y="0"/>
                      <a:ext cx="1447800" cy="1971675"/>
                    </a:xfrm>
                    <a:prstGeom prst="rect">
                      <a:avLst/>
                    </a:prstGeom>
                    <a:ln>
                      <a:noFill/>
                    </a:ln>
                    <a:extLst>
                      <a:ext uri="{53640926-AAD7-44D8-BBD7-CCE9431645EC}">
                        <a14:shadowObscured xmlns:a14="http://schemas.microsoft.com/office/drawing/2010/main"/>
                      </a:ext>
                    </a:extLst>
                  </pic:spPr>
                </pic:pic>
              </a:graphicData>
            </a:graphic>
          </wp:inline>
        </w:drawing>
      </w:r>
      <w:r>
        <w:rPr>
          <w:sz w:val="24"/>
          <w:szCs w:val="24"/>
        </w:rPr>
        <w:tab/>
      </w:r>
      <w:r>
        <w:rPr>
          <w:sz w:val="24"/>
          <w:szCs w:val="24"/>
        </w:rPr>
        <w:tab/>
      </w:r>
      <w:r w:rsidRPr="00920919">
        <w:rPr>
          <w:rFonts w:cstheme="minorHAnsi"/>
          <w:noProof/>
          <w:lang w:eastAsia="es-CO"/>
        </w:rPr>
        <w:drawing>
          <wp:inline distT="0" distB="0" distL="0" distR="0" wp14:anchorId="5904E2D2" wp14:editId="4F0D84F8">
            <wp:extent cx="1562100" cy="1933575"/>
            <wp:effectExtent l="0" t="0" r="0" b="9525"/>
            <wp:docPr id="33"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1" cstate="print">
                      <a:extLst>
                        <a:ext uri="{28A0092B-C50C-407E-A947-70E740481C1C}">
                          <a14:useLocalDpi xmlns:a14="http://schemas.microsoft.com/office/drawing/2010/main" val="0"/>
                        </a:ext>
                      </a:extLst>
                    </a:blip>
                    <a:srcRect l="61786" t="74551" r="11557" b="628"/>
                    <a:stretch/>
                  </pic:blipFill>
                  <pic:spPr bwMode="auto">
                    <a:xfrm>
                      <a:off x="0" y="0"/>
                      <a:ext cx="1562100" cy="1933575"/>
                    </a:xfrm>
                    <a:prstGeom prst="rect">
                      <a:avLst/>
                    </a:prstGeom>
                    <a:ln>
                      <a:noFill/>
                    </a:ln>
                    <a:extLst>
                      <a:ext uri="{53640926-AAD7-44D8-BBD7-CCE9431645EC}">
                        <a14:shadowObscured xmlns:a14="http://schemas.microsoft.com/office/drawing/2010/main"/>
                      </a:ext>
                    </a:extLst>
                  </pic:spPr>
                </pic:pic>
              </a:graphicData>
            </a:graphic>
          </wp:inline>
        </w:drawing>
      </w:r>
    </w:p>
    <w:p w14:paraId="0C4B3CC9" w14:textId="77777777" w:rsidR="00834733" w:rsidRDefault="00834733" w:rsidP="005965DF">
      <w:pPr>
        <w:spacing w:after="0" w:line="240" w:lineRule="auto"/>
        <w:jc w:val="both"/>
        <w:rPr>
          <w:sz w:val="24"/>
          <w:szCs w:val="24"/>
        </w:rPr>
      </w:pPr>
    </w:p>
    <w:p w14:paraId="015FE3BF" w14:textId="1B2C4477" w:rsidR="0031696C" w:rsidRPr="00920919" w:rsidRDefault="0031696C" w:rsidP="005965DF">
      <w:pPr>
        <w:spacing w:after="0" w:line="240" w:lineRule="auto"/>
        <w:jc w:val="both"/>
        <w:rPr>
          <w:sz w:val="24"/>
          <w:szCs w:val="24"/>
        </w:rPr>
      </w:pPr>
      <w:r w:rsidRPr="00920919">
        <w:rPr>
          <w:sz w:val="24"/>
          <w:szCs w:val="24"/>
        </w:rPr>
        <w:t>También, se encuentra información de los avances en las acciones que, aunque no son obligaciones explícitas del Acuerdo de Paz ni de los decretos reglamentarios, se han realizado</w:t>
      </w:r>
      <w:r w:rsidR="005867FD" w:rsidRPr="00920919">
        <w:rPr>
          <w:sz w:val="24"/>
          <w:szCs w:val="24"/>
        </w:rPr>
        <w:t>,</w:t>
      </w:r>
      <w:r w:rsidRPr="00920919">
        <w:rPr>
          <w:sz w:val="24"/>
          <w:szCs w:val="24"/>
        </w:rPr>
        <w:t xml:space="preserve"> en el marco de las competencias legales</w:t>
      </w:r>
      <w:r w:rsidR="005867FD" w:rsidRPr="00920919">
        <w:rPr>
          <w:sz w:val="24"/>
          <w:szCs w:val="24"/>
        </w:rPr>
        <w:t>,</w:t>
      </w:r>
      <w:r w:rsidRPr="00920919">
        <w:rPr>
          <w:sz w:val="24"/>
          <w:szCs w:val="24"/>
        </w:rPr>
        <w:t xml:space="preserve"> con el propósito de contribuir a la construcción de paz. </w:t>
      </w:r>
    </w:p>
    <w:p w14:paraId="034A5773" w14:textId="1123EF20" w:rsidR="0031696C" w:rsidRDefault="0031696C" w:rsidP="005965DF">
      <w:pPr>
        <w:spacing w:after="0" w:line="240" w:lineRule="auto"/>
        <w:jc w:val="both"/>
        <w:rPr>
          <w:sz w:val="24"/>
          <w:szCs w:val="24"/>
        </w:rPr>
      </w:pPr>
    </w:p>
    <w:p w14:paraId="2A995BC5" w14:textId="77777777" w:rsidR="006C6CD9" w:rsidRPr="00920919" w:rsidRDefault="006C6CD9" w:rsidP="005965DF">
      <w:pPr>
        <w:spacing w:after="0" w:line="240" w:lineRule="auto"/>
        <w:jc w:val="both"/>
        <w:rPr>
          <w:sz w:val="24"/>
          <w:szCs w:val="24"/>
        </w:rPr>
      </w:pPr>
    </w:p>
    <w:p w14:paraId="446ECF4B" w14:textId="6A133747" w:rsidR="0031696C" w:rsidRPr="00920919" w:rsidRDefault="0031696C" w:rsidP="005965DF">
      <w:pPr>
        <w:spacing w:after="0" w:line="240" w:lineRule="auto"/>
        <w:jc w:val="both"/>
        <w:rPr>
          <w:sz w:val="24"/>
          <w:szCs w:val="24"/>
        </w:rPr>
      </w:pPr>
    </w:p>
    <w:p w14:paraId="7E3C801F" w14:textId="56935110" w:rsidR="0031696C" w:rsidRDefault="0031696C" w:rsidP="005965DF">
      <w:pPr>
        <w:spacing w:after="0" w:line="240" w:lineRule="auto"/>
        <w:jc w:val="both"/>
        <w:rPr>
          <w:sz w:val="24"/>
          <w:szCs w:val="24"/>
        </w:rPr>
      </w:pPr>
    </w:p>
    <w:p w14:paraId="6C99C959" w14:textId="62CE42CE" w:rsidR="00834733" w:rsidRDefault="00834733" w:rsidP="005965DF">
      <w:pPr>
        <w:spacing w:after="0" w:line="240" w:lineRule="auto"/>
        <w:jc w:val="both"/>
        <w:rPr>
          <w:sz w:val="24"/>
          <w:szCs w:val="24"/>
        </w:rPr>
      </w:pPr>
    </w:p>
    <w:p w14:paraId="1DE5D332" w14:textId="14E3F065" w:rsidR="00834733" w:rsidRDefault="00834733" w:rsidP="005965DF">
      <w:pPr>
        <w:spacing w:after="0" w:line="240" w:lineRule="auto"/>
        <w:jc w:val="both"/>
        <w:rPr>
          <w:sz w:val="24"/>
          <w:szCs w:val="24"/>
        </w:rPr>
      </w:pPr>
    </w:p>
    <w:p w14:paraId="078A1442" w14:textId="5737D8FB" w:rsidR="00834733" w:rsidRDefault="00834733" w:rsidP="005965DF">
      <w:pPr>
        <w:spacing w:after="0" w:line="240" w:lineRule="auto"/>
        <w:jc w:val="both"/>
        <w:rPr>
          <w:sz w:val="24"/>
          <w:szCs w:val="24"/>
        </w:rPr>
      </w:pPr>
    </w:p>
    <w:p w14:paraId="148BE715" w14:textId="562CD88F" w:rsidR="00834733" w:rsidRDefault="00834733" w:rsidP="005965DF">
      <w:pPr>
        <w:spacing w:after="0" w:line="240" w:lineRule="auto"/>
        <w:jc w:val="both"/>
        <w:rPr>
          <w:sz w:val="24"/>
          <w:szCs w:val="24"/>
        </w:rPr>
      </w:pPr>
    </w:p>
    <w:p w14:paraId="117CCE2D" w14:textId="7BFE6139" w:rsidR="00834733" w:rsidRDefault="00834733" w:rsidP="005965DF">
      <w:pPr>
        <w:spacing w:after="0" w:line="240" w:lineRule="auto"/>
        <w:jc w:val="both"/>
        <w:rPr>
          <w:sz w:val="24"/>
          <w:szCs w:val="24"/>
        </w:rPr>
      </w:pPr>
    </w:p>
    <w:p w14:paraId="68E4AF7B" w14:textId="282CF18E" w:rsidR="00834733" w:rsidRDefault="00834733" w:rsidP="005965DF">
      <w:pPr>
        <w:spacing w:after="0" w:line="240" w:lineRule="auto"/>
        <w:jc w:val="both"/>
        <w:rPr>
          <w:sz w:val="24"/>
          <w:szCs w:val="24"/>
        </w:rPr>
      </w:pPr>
    </w:p>
    <w:p w14:paraId="5F3B8F54" w14:textId="0AF672F1" w:rsidR="00834733" w:rsidRDefault="00834733" w:rsidP="005965DF">
      <w:pPr>
        <w:spacing w:after="0" w:line="240" w:lineRule="auto"/>
        <w:jc w:val="both"/>
        <w:rPr>
          <w:sz w:val="24"/>
          <w:szCs w:val="24"/>
        </w:rPr>
      </w:pPr>
    </w:p>
    <w:p w14:paraId="2BA450D5" w14:textId="59BDC794" w:rsidR="00834733" w:rsidRDefault="00834733" w:rsidP="005965DF">
      <w:pPr>
        <w:spacing w:after="0" w:line="240" w:lineRule="auto"/>
        <w:jc w:val="both"/>
        <w:rPr>
          <w:sz w:val="24"/>
          <w:szCs w:val="24"/>
        </w:rPr>
      </w:pPr>
    </w:p>
    <w:p w14:paraId="609E6E8D" w14:textId="390405BE" w:rsidR="00834733" w:rsidRDefault="00834733" w:rsidP="005965DF">
      <w:pPr>
        <w:spacing w:after="0" w:line="240" w:lineRule="auto"/>
        <w:jc w:val="both"/>
        <w:rPr>
          <w:sz w:val="24"/>
          <w:szCs w:val="24"/>
        </w:rPr>
      </w:pPr>
    </w:p>
    <w:p w14:paraId="6A5D20CA" w14:textId="11BFCC43" w:rsidR="00834733" w:rsidRDefault="00834733" w:rsidP="005965DF">
      <w:pPr>
        <w:spacing w:after="0" w:line="240" w:lineRule="auto"/>
        <w:jc w:val="both"/>
        <w:rPr>
          <w:sz w:val="24"/>
          <w:szCs w:val="24"/>
        </w:rPr>
      </w:pPr>
    </w:p>
    <w:p w14:paraId="060BE8E1" w14:textId="11F1BE9B" w:rsidR="00834733" w:rsidRDefault="00834733" w:rsidP="005965DF">
      <w:pPr>
        <w:spacing w:after="0" w:line="240" w:lineRule="auto"/>
        <w:jc w:val="both"/>
        <w:rPr>
          <w:sz w:val="24"/>
          <w:szCs w:val="24"/>
        </w:rPr>
      </w:pPr>
    </w:p>
    <w:p w14:paraId="022A0300" w14:textId="20C1BD71" w:rsidR="00834733" w:rsidRDefault="00834733" w:rsidP="005965DF">
      <w:pPr>
        <w:spacing w:after="0" w:line="240" w:lineRule="auto"/>
        <w:jc w:val="both"/>
        <w:rPr>
          <w:sz w:val="24"/>
          <w:szCs w:val="24"/>
        </w:rPr>
      </w:pPr>
    </w:p>
    <w:p w14:paraId="438D527F" w14:textId="1FA2B6B1" w:rsidR="00834733" w:rsidRDefault="00834733" w:rsidP="005965DF">
      <w:pPr>
        <w:spacing w:after="0" w:line="240" w:lineRule="auto"/>
        <w:jc w:val="both"/>
        <w:rPr>
          <w:sz w:val="24"/>
          <w:szCs w:val="24"/>
        </w:rPr>
      </w:pPr>
    </w:p>
    <w:p w14:paraId="40477500" w14:textId="10604C88" w:rsidR="00834733" w:rsidRDefault="00834733" w:rsidP="005965DF">
      <w:pPr>
        <w:spacing w:after="0" w:line="240" w:lineRule="auto"/>
        <w:jc w:val="both"/>
        <w:rPr>
          <w:sz w:val="24"/>
          <w:szCs w:val="24"/>
        </w:rPr>
      </w:pPr>
    </w:p>
    <w:p w14:paraId="5964B47A" w14:textId="076C9992" w:rsidR="00834733" w:rsidRDefault="00834733" w:rsidP="005965DF">
      <w:pPr>
        <w:spacing w:after="0" w:line="240" w:lineRule="auto"/>
        <w:jc w:val="both"/>
        <w:rPr>
          <w:sz w:val="24"/>
          <w:szCs w:val="24"/>
        </w:rPr>
      </w:pPr>
    </w:p>
    <w:p w14:paraId="3FEA49BF" w14:textId="03673D72" w:rsidR="00834733" w:rsidRPr="00834733" w:rsidRDefault="00245344" w:rsidP="00834733">
      <w:pPr>
        <w:spacing w:line="240" w:lineRule="auto"/>
        <w:rPr>
          <w:b/>
          <w:color w:val="002060"/>
          <w:sz w:val="72"/>
          <w:szCs w:val="72"/>
        </w:rPr>
      </w:pPr>
      <w:r w:rsidRPr="00834733">
        <w:rPr>
          <w:b/>
          <w:color w:val="002060"/>
          <w:sz w:val="72"/>
          <w:szCs w:val="72"/>
        </w:rPr>
        <w:t>Glosario</w:t>
      </w:r>
    </w:p>
    <w:p w14:paraId="1A1C06EC" w14:textId="77777777" w:rsidR="00834733" w:rsidRDefault="00834733" w:rsidP="00834733">
      <w:pPr>
        <w:spacing w:line="240" w:lineRule="auto"/>
        <w:rPr>
          <w:b/>
          <w:color w:val="0033CC"/>
          <w:sz w:val="36"/>
          <w:szCs w:val="52"/>
        </w:rPr>
      </w:pPr>
    </w:p>
    <w:p w14:paraId="404239BE" w14:textId="77777777" w:rsidR="00834733" w:rsidRPr="00EE293E" w:rsidRDefault="00834733" w:rsidP="00834733">
      <w:pPr>
        <w:spacing w:line="240" w:lineRule="auto"/>
        <w:rPr>
          <w:color w:val="009EAD"/>
          <w:sz w:val="36"/>
          <w:szCs w:val="52"/>
        </w:rPr>
      </w:pPr>
      <w:r w:rsidRPr="00834733">
        <w:rPr>
          <w:b/>
          <w:color w:val="002060"/>
          <w:sz w:val="36"/>
          <w:szCs w:val="36"/>
        </w:rPr>
        <w:t>ANT:</w:t>
      </w:r>
      <w:r w:rsidRPr="00746492">
        <w:rPr>
          <w:rFonts w:cs="Arial"/>
          <w:color w:val="FF0000"/>
          <w:sz w:val="24"/>
          <w:szCs w:val="24"/>
        </w:rPr>
        <w:t xml:space="preserve"> </w:t>
      </w:r>
      <w:r>
        <w:rPr>
          <w:rFonts w:cs="Arial"/>
          <w:color w:val="000000"/>
          <w:sz w:val="24"/>
          <w:szCs w:val="24"/>
        </w:rPr>
        <w:t>Agencia Nacional de Tierras</w:t>
      </w:r>
    </w:p>
    <w:p w14:paraId="47ADF5BB" w14:textId="77777777" w:rsidR="00834733" w:rsidRDefault="00834733" w:rsidP="00834733">
      <w:pPr>
        <w:spacing w:line="240" w:lineRule="auto"/>
      </w:pPr>
      <w:r w:rsidRPr="00834733">
        <w:rPr>
          <w:b/>
          <w:color w:val="002060"/>
          <w:sz w:val="36"/>
          <w:szCs w:val="36"/>
        </w:rPr>
        <w:t>ART:</w:t>
      </w:r>
      <w:r>
        <w:t xml:space="preserve"> </w:t>
      </w:r>
      <w:r w:rsidRPr="00263525">
        <w:rPr>
          <w:sz w:val="24"/>
        </w:rPr>
        <w:t>Agencia de Renovación del Territorio</w:t>
      </w:r>
    </w:p>
    <w:p w14:paraId="77B8DA40" w14:textId="77777777" w:rsidR="00834733" w:rsidRDefault="00834733" w:rsidP="00834733">
      <w:pPr>
        <w:spacing w:line="240" w:lineRule="auto"/>
        <w:rPr>
          <w:rFonts w:cs="Arial"/>
          <w:color w:val="000000"/>
          <w:sz w:val="24"/>
          <w:szCs w:val="24"/>
        </w:rPr>
      </w:pPr>
      <w:r w:rsidRPr="00834733">
        <w:rPr>
          <w:b/>
          <w:color w:val="002060"/>
          <w:sz w:val="36"/>
          <w:szCs w:val="36"/>
        </w:rPr>
        <w:t>ARN:</w:t>
      </w:r>
      <w:r>
        <w:rPr>
          <w:color w:val="009EAD"/>
          <w:sz w:val="36"/>
          <w:szCs w:val="52"/>
        </w:rPr>
        <w:t xml:space="preserve"> </w:t>
      </w:r>
      <w:r w:rsidRPr="00922DD4">
        <w:rPr>
          <w:rFonts w:cs="Arial"/>
          <w:color w:val="000000"/>
          <w:sz w:val="24"/>
          <w:szCs w:val="24"/>
        </w:rPr>
        <w:t>Agencia para la Reincorporación y Normalización</w:t>
      </w:r>
    </w:p>
    <w:p w14:paraId="0999C8DB" w14:textId="77777777" w:rsidR="00834733" w:rsidRDefault="00834733" w:rsidP="00834733">
      <w:pPr>
        <w:spacing w:line="240" w:lineRule="auto"/>
        <w:rPr>
          <w:rFonts w:cs="Arial"/>
          <w:color w:val="000000"/>
          <w:sz w:val="24"/>
          <w:szCs w:val="24"/>
        </w:rPr>
      </w:pPr>
      <w:r w:rsidRPr="00834733">
        <w:rPr>
          <w:b/>
          <w:color w:val="002060"/>
          <w:sz w:val="36"/>
          <w:szCs w:val="36"/>
        </w:rPr>
        <w:t>CNR:</w:t>
      </w:r>
      <w:r>
        <w:rPr>
          <w:color w:val="009EAD"/>
          <w:sz w:val="36"/>
          <w:szCs w:val="52"/>
        </w:rPr>
        <w:t xml:space="preserve"> </w:t>
      </w:r>
      <w:r>
        <w:rPr>
          <w:rFonts w:cs="Arial"/>
          <w:color w:val="000000"/>
          <w:sz w:val="24"/>
          <w:szCs w:val="24"/>
        </w:rPr>
        <w:t>Consejo Nacional de Reincorporación</w:t>
      </w:r>
    </w:p>
    <w:p w14:paraId="6BBB39EB" w14:textId="77777777" w:rsidR="00834733" w:rsidRPr="00263525" w:rsidRDefault="00834733" w:rsidP="00834733">
      <w:pPr>
        <w:spacing w:line="240" w:lineRule="auto"/>
        <w:rPr>
          <w:sz w:val="24"/>
        </w:rPr>
      </w:pPr>
      <w:r w:rsidRPr="00834733">
        <w:rPr>
          <w:b/>
          <w:color w:val="002060"/>
          <w:sz w:val="36"/>
          <w:szCs w:val="36"/>
        </w:rPr>
        <w:t>CSIVI:</w:t>
      </w:r>
      <w:r>
        <w:t xml:space="preserve"> </w:t>
      </w:r>
      <w:r w:rsidRPr="00263525">
        <w:rPr>
          <w:sz w:val="24"/>
        </w:rPr>
        <w:t>Comisión de Seguimiento, Impulso y Verificación a la Implementación del Acuerdo Final</w:t>
      </w:r>
    </w:p>
    <w:p w14:paraId="08A9EDB3" w14:textId="77777777" w:rsidR="00834733" w:rsidRPr="00263525" w:rsidRDefault="00834733" w:rsidP="00834733">
      <w:pPr>
        <w:spacing w:line="240" w:lineRule="auto"/>
        <w:rPr>
          <w:sz w:val="24"/>
        </w:rPr>
      </w:pPr>
      <w:r w:rsidRPr="00834733">
        <w:rPr>
          <w:b/>
          <w:color w:val="002060"/>
          <w:sz w:val="36"/>
          <w:szCs w:val="36"/>
        </w:rPr>
        <w:t>DAPRE:</w:t>
      </w:r>
      <w:r>
        <w:t xml:space="preserve"> </w:t>
      </w:r>
      <w:r w:rsidRPr="00263525">
        <w:rPr>
          <w:sz w:val="24"/>
        </w:rPr>
        <w:t>Departamento Administrativo de la Presidencia de la Republica.</w:t>
      </w:r>
    </w:p>
    <w:p w14:paraId="7A10B348" w14:textId="77777777" w:rsidR="00834733" w:rsidRDefault="00834733" w:rsidP="00834733">
      <w:pPr>
        <w:spacing w:line="240" w:lineRule="auto"/>
        <w:rPr>
          <w:rFonts w:cs="Arial"/>
          <w:color w:val="000000"/>
          <w:sz w:val="24"/>
          <w:szCs w:val="24"/>
        </w:rPr>
      </w:pPr>
      <w:r w:rsidRPr="00834733">
        <w:rPr>
          <w:b/>
          <w:color w:val="002060"/>
          <w:sz w:val="36"/>
          <w:szCs w:val="36"/>
        </w:rPr>
        <w:t>ETCR:</w:t>
      </w:r>
      <w:r w:rsidRPr="00EE293E">
        <w:rPr>
          <w:color w:val="009EAD"/>
          <w:sz w:val="52"/>
          <w:szCs w:val="52"/>
        </w:rPr>
        <w:t xml:space="preserve"> </w:t>
      </w:r>
      <w:r w:rsidRPr="00EE293E">
        <w:rPr>
          <w:rFonts w:cs="Arial"/>
          <w:color w:val="000000"/>
          <w:sz w:val="24"/>
          <w:szCs w:val="24"/>
        </w:rPr>
        <w:t>Espacios Territoriales de Capacitación y Reincorporación</w:t>
      </w:r>
    </w:p>
    <w:p w14:paraId="6DBAC764" w14:textId="77777777" w:rsidR="00834733" w:rsidRDefault="00834733" w:rsidP="00834733">
      <w:pPr>
        <w:spacing w:line="240" w:lineRule="auto"/>
        <w:rPr>
          <w:rFonts w:cs="Arial"/>
          <w:color w:val="000000"/>
          <w:sz w:val="24"/>
          <w:szCs w:val="24"/>
        </w:rPr>
      </w:pPr>
      <w:r w:rsidRPr="00834733">
        <w:rPr>
          <w:b/>
          <w:color w:val="002060"/>
          <w:sz w:val="36"/>
          <w:szCs w:val="36"/>
        </w:rPr>
        <w:t>ECOMUN:</w:t>
      </w:r>
      <w:r w:rsidRPr="00EE293E">
        <w:rPr>
          <w:color w:val="009EAD"/>
          <w:sz w:val="52"/>
          <w:szCs w:val="52"/>
        </w:rPr>
        <w:t xml:space="preserve"> </w:t>
      </w:r>
      <w:r>
        <w:rPr>
          <w:rFonts w:cs="Arial"/>
          <w:color w:val="000000"/>
          <w:sz w:val="24"/>
          <w:szCs w:val="24"/>
        </w:rPr>
        <w:t xml:space="preserve">Economía Social del Común </w:t>
      </w:r>
    </w:p>
    <w:p w14:paraId="31803972" w14:textId="77777777" w:rsidR="00834733" w:rsidRDefault="00834733" w:rsidP="00834733">
      <w:pPr>
        <w:spacing w:line="240" w:lineRule="auto"/>
        <w:rPr>
          <w:rFonts w:cs="Arial"/>
          <w:color w:val="000000"/>
          <w:sz w:val="24"/>
          <w:szCs w:val="24"/>
        </w:rPr>
      </w:pPr>
      <w:r w:rsidRPr="00834733">
        <w:rPr>
          <w:b/>
          <w:color w:val="002060"/>
          <w:sz w:val="36"/>
          <w:szCs w:val="36"/>
        </w:rPr>
        <w:t>FARC:</w:t>
      </w:r>
      <w:r>
        <w:rPr>
          <w:sz w:val="32"/>
          <w:szCs w:val="32"/>
        </w:rPr>
        <w:t xml:space="preserve"> </w:t>
      </w:r>
      <w:r w:rsidRPr="00DF1E6A">
        <w:rPr>
          <w:rFonts w:cs="Arial"/>
          <w:color w:val="000000"/>
          <w:sz w:val="24"/>
          <w:szCs w:val="24"/>
        </w:rPr>
        <w:t>Fuerza Alternativa Revolucionaria del Común</w:t>
      </w:r>
    </w:p>
    <w:p w14:paraId="1F289678" w14:textId="77777777" w:rsidR="00834733" w:rsidRDefault="00834733" w:rsidP="00834733">
      <w:pPr>
        <w:spacing w:line="240" w:lineRule="auto"/>
        <w:rPr>
          <w:rFonts w:cs="Arial"/>
          <w:color w:val="000000"/>
          <w:sz w:val="24"/>
          <w:szCs w:val="24"/>
        </w:rPr>
      </w:pPr>
      <w:r w:rsidRPr="00834733">
        <w:rPr>
          <w:b/>
          <w:color w:val="002060"/>
          <w:sz w:val="36"/>
          <w:szCs w:val="36"/>
        </w:rPr>
        <w:t>FARC-EP:</w:t>
      </w:r>
      <w:r>
        <w:rPr>
          <w:sz w:val="32"/>
          <w:szCs w:val="32"/>
        </w:rPr>
        <w:t xml:space="preserve"> </w:t>
      </w:r>
      <w:r>
        <w:rPr>
          <w:rFonts w:cs="Arial"/>
          <w:color w:val="000000"/>
          <w:sz w:val="24"/>
          <w:szCs w:val="24"/>
        </w:rPr>
        <w:t>Fuerzas Armadas Revolucionarias de Colombia</w:t>
      </w:r>
    </w:p>
    <w:p w14:paraId="5CE46507" w14:textId="77777777" w:rsidR="00834733" w:rsidRPr="00B576C8" w:rsidRDefault="00834733" w:rsidP="00834733">
      <w:pPr>
        <w:spacing w:line="240" w:lineRule="auto"/>
        <w:rPr>
          <w:sz w:val="36"/>
          <w:szCs w:val="52"/>
        </w:rPr>
      </w:pPr>
      <w:r w:rsidRPr="00834733">
        <w:rPr>
          <w:b/>
          <w:color w:val="002060"/>
          <w:sz w:val="36"/>
          <w:szCs w:val="36"/>
        </w:rPr>
        <w:t>GT:</w:t>
      </w:r>
      <w:r w:rsidRPr="00B576C8">
        <w:rPr>
          <w:b/>
          <w:sz w:val="36"/>
          <w:szCs w:val="52"/>
        </w:rPr>
        <w:t xml:space="preserve"> </w:t>
      </w:r>
      <w:r w:rsidRPr="00B576C8">
        <w:rPr>
          <w:sz w:val="24"/>
        </w:rPr>
        <w:t>Grupo Territorial</w:t>
      </w:r>
    </w:p>
    <w:p w14:paraId="410493A3" w14:textId="77777777" w:rsidR="00834733" w:rsidRDefault="00834733" w:rsidP="00834733">
      <w:pPr>
        <w:spacing w:line="240" w:lineRule="auto"/>
        <w:rPr>
          <w:color w:val="009EAD"/>
          <w:sz w:val="36"/>
          <w:szCs w:val="52"/>
        </w:rPr>
      </w:pPr>
      <w:r w:rsidRPr="00834733">
        <w:rPr>
          <w:b/>
          <w:color w:val="002060"/>
          <w:sz w:val="36"/>
          <w:szCs w:val="36"/>
        </w:rPr>
        <w:t>OACP:</w:t>
      </w:r>
      <w:r>
        <w:rPr>
          <w:rFonts w:cs="Arial"/>
          <w:color w:val="000000"/>
          <w:sz w:val="24"/>
          <w:szCs w:val="24"/>
        </w:rPr>
        <w:t xml:space="preserve"> Oficina del Alto Comisionado para la Paz</w:t>
      </w:r>
      <w:r w:rsidRPr="00333FEF">
        <w:rPr>
          <w:color w:val="009EAD"/>
          <w:sz w:val="36"/>
          <w:szCs w:val="52"/>
        </w:rPr>
        <w:t xml:space="preserve"> </w:t>
      </w:r>
    </w:p>
    <w:p w14:paraId="67A0A2BD" w14:textId="77777777" w:rsidR="00834733" w:rsidRDefault="00834733" w:rsidP="00834733">
      <w:pPr>
        <w:spacing w:line="240" w:lineRule="auto"/>
        <w:rPr>
          <w:color w:val="009EAD"/>
          <w:sz w:val="36"/>
          <w:szCs w:val="52"/>
        </w:rPr>
      </w:pPr>
      <w:r w:rsidRPr="00834733">
        <w:rPr>
          <w:b/>
          <w:color w:val="002060"/>
          <w:sz w:val="36"/>
          <w:szCs w:val="36"/>
        </w:rPr>
        <w:t>OIM:</w:t>
      </w:r>
      <w:r w:rsidRPr="007B2CEB">
        <w:t xml:space="preserve"> </w:t>
      </w:r>
      <w:r w:rsidRPr="007B2CEB">
        <w:rPr>
          <w:rFonts w:cs="Arial"/>
          <w:color w:val="000000"/>
          <w:sz w:val="24"/>
          <w:szCs w:val="24"/>
        </w:rPr>
        <w:t>Organización Internacional para las Migraciones</w:t>
      </w:r>
    </w:p>
    <w:p w14:paraId="1890144A" w14:textId="77777777" w:rsidR="00834733" w:rsidRDefault="00834733" w:rsidP="00834733">
      <w:pPr>
        <w:spacing w:line="240" w:lineRule="auto"/>
        <w:rPr>
          <w:sz w:val="24"/>
          <w:szCs w:val="24"/>
        </w:rPr>
      </w:pPr>
      <w:r w:rsidRPr="00834733">
        <w:rPr>
          <w:b/>
          <w:color w:val="002060"/>
          <w:sz w:val="36"/>
          <w:szCs w:val="36"/>
        </w:rPr>
        <w:t>PNUD:</w:t>
      </w:r>
      <w:r>
        <w:rPr>
          <w:sz w:val="24"/>
          <w:szCs w:val="24"/>
        </w:rPr>
        <w:t xml:space="preserve"> Programa Naciones Unidas para el Desarrollo</w:t>
      </w:r>
    </w:p>
    <w:p w14:paraId="6A671660" w14:textId="77777777" w:rsidR="00834733" w:rsidRDefault="00834733" w:rsidP="00834733">
      <w:pPr>
        <w:spacing w:line="240" w:lineRule="auto"/>
        <w:rPr>
          <w:sz w:val="24"/>
          <w:szCs w:val="24"/>
        </w:rPr>
      </w:pPr>
      <w:r w:rsidRPr="00834733">
        <w:rPr>
          <w:b/>
          <w:color w:val="002060"/>
          <w:sz w:val="36"/>
          <w:szCs w:val="36"/>
        </w:rPr>
        <w:t>SGSSS:</w:t>
      </w:r>
      <w:r>
        <w:rPr>
          <w:sz w:val="24"/>
          <w:szCs w:val="24"/>
        </w:rPr>
        <w:t xml:space="preserve"> Sistema General de Seguridad Social en Salud</w:t>
      </w:r>
    </w:p>
    <w:p w14:paraId="106B016A" w14:textId="77777777" w:rsidR="00834733" w:rsidRDefault="00834733" w:rsidP="00834733">
      <w:pPr>
        <w:spacing w:line="240" w:lineRule="auto"/>
        <w:rPr>
          <w:rFonts w:cs="Arial"/>
          <w:color w:val="000000"/>
          <w:sz w:val="24"/>
          <w:szCs w:val="24"/>
        </w:rPr>
      </w:pPr>
      <w:r w:rsidRPr="00834733">
        <w:rPr>
          <w:b/>
          <w:color w:val="002060"/>
          <w:sz w:val="36"/>
          <w:szCs w:val="36"/>
        </w:rPr>
        <w:t>UNAD:</w:t>
      </w:r>
      <w:r>
        <w:rPr>
          <w:color w:val="009EAD"/>
          <w:sz w:val="36"/>
          <w:szCs w:val="52"/>
        </w:rPr>
        <w:t xml:space="preserve"> </w:t>
      </w:r>
      <w:r w:rsidRPr="00133E56">
        <w:rPr>
          <w:rFonts w:cs="Arial"/>
          <w:color w:val="000000"/>
          <w:sz w:val="24"/>
          <w:szCs w:val="24"/>
        </w:rPr>
        <w:t>Universidad Nacional Abierta y a Distancia Colombia</w:t>
      </w:r>
    </w:p>
    <w:p w14:paraId="7421E917" w14:textId="77777777" w:rsidR="00834733" w:rsidRDefault="00834733" w:rsidP="00834733">
      <w:pPr>
        <w:spacing w:line="240" w:lineRule="auto"/>
        <w:rPr>
          <w:rFonts w:cs="Arial"/>
          <w:color w:val="000000"/>
          <w:sz w:val="24"/>
          <w:szCs w:val="24"/>
        </w:rPr>
      </w:pPr>
      <w:r w:rsidRPr="00FE67F5">
        <w:rPr>
          <w:b/>
          <w:color w:val="002060"/>
          <w:sz w:val="36"/>
          <w:szCs w:val="36"/>
        </w:rPr>
        <w:t>UNAL:</w:t>
      </w:r>
      <w:r>
        <w:rPr>
          <w:color w:val="009EAD"/>
          <w:sz w:val="36"/>
          <w:szCs w:val="52"/>
        </w:rPr>
        <w:t xml:space="preserve"> </w:t>
      </w:r>
      <w:r w:rsidRPr="00B8513B">
        <w:rPr>
          <w:rFonts w:cs="Arial"/>
          <w:color w:val="000000"/>
          <w:sz w:val="24"/>
          <w:szCs w:val="24"/>
        </w:rPr>
        <w:t>Universidad Nacional de Colombia</w:t>
      </w:r>
    </w:p>
    <w:p w14:paraId="030C3F81" w14:textId="77777777" w:rsidR="00834733" w:rsidRPr="00263525" w:rsidRDefault="00834733" w:rsidP="00834733">
      <w:pPr>
        <w:spacing w:line="240" w:lineRule="auto"/>
        <w:rPr>
          <w:sz w:val="24"/>
        </w:rPr>
      </w:pPr>
      <w:r w:rsidRPr="00FE67F5">
        <w:rPr>
          <w:b/>
          <w:color w:val="002060"/>
          <w:sz w:val="36"/>
          <w:szCs w:val="36"/>
        </w:rPr>
        <w:t>ZVTN:</w:t>
      </w:r>
      <w:r>
        <w:t xml:space="preserve"> </w:t>
      </w:r>
      <w:r w:rsidRPr="00263525">
        <w:rPr>
          <w:sz w:val="24"/>
        </w:rPr>
        <w:t>Zonas Veredales Transitorias de Normalización</w:t>
      </w:r>
    </w:p>
    <w:p w14:paraId="6C4C2312" w14:textId="77777777" w:rsidR="00834733" w:rsidRPr="00920919" w:rsidRDefault="00834733" w:rsidP="005965DF">
      <w:pPr>
        <w:spacing w:after="0" w:line="240" w:lineRule="auto"/>
        <w:jc w:val="both"/>
        <w:rPr>
          <w:sz w:val="24"/>
          <w:szCs w:val="24"/>
        </w:rPr>
      </w:pPr>
    </w:p>
    <w:p w14:paraId="11655D1E" w14:textId="58AF5007" w:rsidR="00D53637" w:rsidRPr="00920919" w:rsidRDefault="00D53637" w:rsidP="00631DF4">
      <w:pPr>
        <w:pStyle w:val="Prrafodelista"/>
        <w:numPr>
          <w:ilvl w:val="0"/>
          <w:numId w:val="1"/>
        </w:numPr>
        <w:spacing w:after="0" w:line="240" w:lineRule="auto"/>
        <w:ind w:left="426" w:hanging="426"/>
        <w:jc w:val="center"/>
        <w:rPr>
          <w:color w:val="002060"/>
          <w:sz w:val="72"/>
          <w:szCs w:val="72"/>
        </w:rPr>
      </w:pPr>
      <w:r w:rsidRPr="00920919">
        <w:rPr>
          <w:color w:val="002060"/>
          <w:sz w:val="72"/>
          <w:szCs w:val="72"/>
        </w:rPr>
        <w:t>¿Qué hicimos en el 202</w:t>
      </w:r>
      <w:r w:rsidR="009F4828">
        <w:rPr>
          <w:color w:val="002060"/>
          <w:sz w:val="72"/>
          <w:szCs w:val="72"/>
        </w:rPr>
        <w:t>1</w:t>
      </w:r>
      <w:r w:rsidRPr="00920919">
        <w:rPr>
          <w:color w:val="002060"/>
          <w:sz w:val="72"/>
          <w:szCs w:val="72"/>
        </w:rPr>
        <w:t>?</w:t>
      </w:r>
    </w:p>
    <w:p w14:paraId="62B15941" w14:textId="1EE29700" w:rsidR="00D53637" w:rsidRPr="00920919" w:rsidRDefault="00D53637" w:rsidP="005965DF">
      <w:pPr>
        <w:spacing w:after="0" w:line="240" w:lineRule="auto"/>
        <w:jc w:val="both"/>
        <w:rPr>
          <w:sz w:val="24"/>
          <w:szCs w:val="24"/>
        </w:rPr>
      </w:pPr>
    </w:p>
    <w:p w14:paraId="5B086013" w14:textId="630ABBFF" w:rsidR="00D53637" w:rsidRPr="00920919" w:rsidRDefault="0031696C" w:rsidP="00631DF4">
      <w:pPr>
        <w:pStyle w:val="Prrafodelista"/>
        <w:numPr>
          <w:ilvl w:val="0"/>
          <w:numId w:val="3"/>
        </w:numPr>
        <w:spacing w:after="0" w:line="240" w:lineRule="auto"/>
        <w:ind w:left="426"/>
        <w:rPr>
          <w:sz w:val="24"/>
          <w:szCs w:val="24"/>
        </w:rPr>
      </w:pPr>
      <w:r w:rsidRPr="00920919">
        <w:rPr>
          <w:sz w:val="36"/>
          <w:szCs w:val="36"/>
        </w:rPr>
        <w:t>Avances en los compromisos del Plan Marco de Implementación</w:t>
      </w:r>
    </w:p>
    <w:p w14:paraId="5D49E111" w14:textId="77777777" w:rsidR="0031696C" w:rsidRPr="00920919" w:rsidRDefault="0031696C" w:rsidP="00D53637">
      <w:pPr>
        <w:spacing w:after="0" w:line="240" w:lineRule="auto"/>
        <w:jc w:val="both"/>
        <w:rPr>
          <w:sz w:val="24"/>
          <w:szCs w:val="24"/>
        </w:rPr>
      </w:pPr>
    </w:p>
    <w:p w14:paraId="4BFD4AC2" w14:textId="2C59C022" w:rsidR="00890462" w:rsidRPr="00920919" w:rsidRDefault="00890462" w:rsidP="00FB41AD">
      <w:pPr>
        <w:spacing w:after="0" w:line="240" w:lineRule="auto"/>
        <w:jc w:val="both"/>
        <w:rPr>
          <w:sz w:val="24"/>
          <w:szCs w:val="24"/>
        </w:rPr>
      </w:pPr>
      <w:r w:rsidRPr="00920919">
        <w:rPr>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CONPES 3932 de 2018. </w:t>
      </w:r>
    </w:p>
    <w:p w14:paraId="0A2C99B1" w14:textId="77777777" w:rsidR="00890462" w:rsidRPr="00920919" w:rsidRDefault="00890462" w:rsidP="00890462">
      <w:pPr>
        <w:spacing w:after="0" w:line="240" w:lineRule="auto"/>
        <w:jc w:val="both"/>
        <w:rPr>
          <w:sz w:val="24"/>
          <w:szCs w:val="24"/>
        </w:rPr>
      </w:pPr>
    </w:p>
    <w:p w14:paraId="43F14456" w14:textId="5B5573D1" w:rsidR="00D53637" w:rsidRPr="00920919" w:rsidRDefault="00890462" w:rsidP="00890462">
      <w:pPr>
        <w:spacing w:after="0" w:line="240" w:lineRule="auto"/>
        <w:jc w:val="both"/>
        <w:rPr>
          <w:sz w:val="24"/>
          <w:szCs w:val="24"/>
        </w:rPr>
      </w:pPr>
      <w:r w:rsidRPr="00920919">
        <w:rPr>
          <w:sz w:val="24"/>
          <w:szCs w:val="24"/>
        </w:rPr>
        <w:t>En esta sección, encuentra la información sobre las acciones que viene desarrollando esta entidad para dar cumplimiento al Plan Marco de Implementación, organizadas por cada Punto del Acuerdo de Paz al que aportamos, los cuales son:</w:t>
      </w:r>
    </w:p>
    <w:p w14:paraId="78491049" w14:textId="2602A7EC" w:rsidR="00E2551E" w:rsidRPr="00920919" w:rsidRDefault="00E2551E" w:rsidP="00890462">
      <w:pPr>
        <w:spacing w:after="0" w:line="240" w:lineRule="auto"/>
        <w:jc w:val="both"/>
        <w:rPr>
          <w:sz w:val="24"/>
          <w:szCs w:val="24"/>
        </w:rPr>
      </w:pPr>
    </w:p>
    <w:p w14:paraId="4EF0D5AF" w14:textId="455F6FF5" w:rsidR="00E2551E"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414"/>
      </w:tblGrid>
      <w:tr w:rsidR="0029180F" w14:paraId="45DE4B38" w14:textId="77777777" w:rsidTr="0029180F">
        <w:tc>
          <w:tcPr>
            <w:tcW w:w="1838" w:type="dxa"/>
          </w:tcPr>
          <w:p w14:paraId="0E7867EF" w14:textId="77777777" w:rsidR="005B2C9D" w:rsidRDefault="005B2C9D" w:rsidP="00890462">
            <w:pPr>
              <w:jc w:val="both"/>
              <w:rPr>
                <w:sz w:val="24"/>
                <w:szCs w:val="24"/>
              </w:rPr>
            </w:pPr>
          </w:p>
          <w:p w14:paraId="49A7A5DA" w14:textId="77777777" w:rsidR="005B2C9D" w:rsidRDefault="005B2C9D" w:rsidP="00890462">
            <w:pPr>
              <w:jc w:val="both"/>
              <w:rPr>
                <w:sz w:val="24"/>
                <w:szCs w:val="24"/>
              </w:rPr>
            </w:pPr>
          </w:p>
          <w:p w14:paraId="6EF55DE4" w14:textId="77777777" w:rsidR="005B2C9D" w:rsidRDefault="005B2C9D" w:rsidP="00890462">
            <w:pPr>
              <w:jc w:val="both"/>
              <w:rPr>
                <w:sz w:val="24"/>
                <w:szCs w:val="24"/>
              </w:rPr>
            </w:pPr>
          </w:p>
          <w:p w14:paraId="425848F3" w14:textId="3F9269E5" w:rsidR="0029180F" w:rsidRDefault="0029180F" w:rsidP="00890462">
            <w:pPr>
              <w:jc w:val="both"/>
              <w:rPr>
                <w:sz w:val="24"/>
                <w:szCs w:val="24"/>
              </w:rPr>
            </w:pPr>
            <w:r w:rsidRPr="00E16171">
              <w:rPr>
                <w:noProof/>
                <w:sz w:val="20"/>
                <w:szCs w:val="20"/>
                <w:lang w:eastAsia="es-CO"/>
              </w:rPr>
              <w:drawing>
                <wp:inline distT="0" distB="0" distL="0" distR="0" wp14:anchorId="033E4E31" wp14:editId="084A6301">
                  <wp:extent cx="914400" cy="850900"/>
                  <wp:effectExtent l="0" t="0" r="0" b="6350"/>
                  <wp:docPr id="6"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4414" w:type="dxa"/>
          </w:tcPr>
          <w:p w14:paraId="00368176" w14:textId="68905678" w:rsidR="0029180F" w:rsidRDefault="0029180F" w:rsidP="00890462">
            <w:pPr>
              <w:jc w:val="both"/>
              <w:rPr>
                <w:b/>
                <w:color w:val="002060"/>
                <w:sz w:val="40"/>
                <w:szCs w:val="72"/>
                <w:u w:val="single"/>
              </w:rPr>
            </w:pPr>
            <w:r w:rsidRPr="0029180F">
              <w:rPr>
                <w:b/>
                <w:color w:val="002060"/>
                <w:sz w:val="40"/>
                <w:szCs w:val="72"/>
                <w:u w:val="single"/>
              </w:rPr>
              <w:t>Punto 3 del Acuerdo</w:t>
            </w:r>
          </w:p>
          <w:p w14:paraId="2D3655E5" w14:textId="77777777" w:rsidR="0029180F" w:rsidRDefault="0029180F" w:rsidP="00890462">
            <w:pPr>
              <w:jc w:val="both"/>
              <w:rPr>
                <w:b/>
                <w:color w:val="002060"/>
                <w:sz w:val="48"/>
                <w:szCs w:val="72"/>
                <w:u w:val="single"/>
              </w:rPr>
            </w:pPr>
            <w:r w:rsidRPr="0029180F">
              <w:rPr>
                <w:b/>
                <w:color w:val="002060"/>
                <w:sz w:val="48"/>
                <w:szCs w:val="72"/>
                <w:u w:val="single"/>
              </w:rPr>
              <w:t>Fin del Acuerdo</w:t>
            </w:r>
          </w:p>
          <w:p w14:paraId="564BC314" w14:textId="3387AB9D" w:rsidR="005B2C9D" w:rsidRPr="005B2C9D" w:rsidRDefault="005B2C9D" w:rsidP="005B2C9D">
            <w:pPr>
              <w:jc w:val="both"/>
              <w:rPr>
                <w:sz w:val="24"/>
                <w:szCs w:val="24"/>
              </w:rPr>
            </w:pPr>
            <w:r w:rsidRPr="005B2C9D">
              <w:rPr>
                <w:sz w:val="24"/>
                <w:szCs w:val="24"/>
              </w:rPr>
              <w:t xml:space="preserve">3.1 Acuerdo sobre el cese al fuego y de hostilidades bilateral y definitivo y dejación de las armas entre el Gobierno Nacional y las FARC-EP </w:t>
            </w:r>
          </w:p>
          <w:p w14:paraId="188A0D75" w14:textId="0332FE20" w:rsidR="005B2C9D" w:rsidRPr="005B2C9D" w:rsidRDefault="005B2C9D" w:rsidP="005B2C9D">
            <w:pPr>
              <w:jc w:val="both"/>
              <w:rPr>
                <w:rFonts w:cs="Arial"/>
                <w:i/>
                <w:sz w:val="24"/>
                <w:szCs w:val="24"/>
              </w:rPr>
            </w:pPr>
            <w:r w:rsidRPr="005B2C9D">
              <w:rPr>
                <w:sz w:val="24"/>
                <w:szCs w:val="24"/>
              </w:rPr>
              <w:t xml:space="preserve">3.2 Reincorporación de las FARC-EP a la vida civil - en lo económico, lo social y lo político – de acuerdo con sus intereses.   </w:t>
            </w:r>
          </w:p>
          <w:p w14:paraId="4FF35A5C" w14:textId="591246E3" w:rsidR="005B2C9D" w:rsidRDefault="005B2C9D" w:rsidP="00890462">
            <w:pPr>
              <w:jc w:val="both"/>
              <w:rPr>
                <w:sz w:val="24"/>
                <w:szCs w:val="24"/>
              </w:rPr>
            </w:pPr>
          </w:p>
        </w:tc>
      </w:tr>
    </w:tbl>
    <w:p w14:paraId="2B2220CC" w14:textId="77777777" w:rsidR="0029180F" w:rsidRPr="00920919" w:rsidRDefault="0029180F" w:rsidP="00890462">
      <w:pPr>
        <w:spacing w:after="0" w:line="240" w:lineRule="auto"/>
        <w:jc w:val="both"/>
        <w:rPr>
          <w:sz w:val="24"/>
          <w:szCs w:val="24"/>
        </w:rPr>
      </w:pPr>
    </w:p>
    <w:p w14:paraId="6FC95F8D" w14:textId="5F29DD47" w:rsidR="00784E2E" w:rsidRDefault="00784E2E" w:rsidP="00890462">
      <w:pPr>
        <w:spacing w:after="0" w:line="240" w:lineRule="auto"/>
        <w:jc w:val="both"/>
        <w:rPr>
          <w:sz w:val="24"/>
          <w:szCs w:val="24"/>
        </w:rPr>
      </w:pPr>
    </w:p>
    <w:p w14:paraId="641AD4F1" w14:textId="4CA18B25" w:rsidR="0048016F" w:rsidRPr="0048016F" w:rsidRDefault="0048016F" w:rsidP="00890462">
      <w:pPr>
        <w:spacing w:after="0" w:line="240" w:lineRule="auto"/>
        <w:jc w:val="both"/>
        <w:rPr>
          <w:b/>
          <w:i/>
          <w:sz w:val="32"/>
          <w:szCs w:val="24"/>
        </w:rPr>
      </w:pPr>
      <w:r w:rsidRPr="0048016F">
        <w:rPr>
          <w:b/>
          <w:i/>
          <w:sz w:val="32"/>
          <w:szCs w:val="24"/>
        </w:rPr>
        <w:t>Acción 1</w:t>
      </w:r>
    </w:p>
    <w:p w14:paraId="6C63D9DD" w14:textId="77777777" w:rsidR="0048016F" w:rsidRPr="00920919" w:rsidRDefault="0048016F"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1843"/>
        <w:gridCol w:w="992"/>
        <w:gridCol w:w="992"/>
        <w:gridCol w:w="2454"/>
      </w:tblGrid>
      <w:tr w:rsidR="00A2697D" w:rsidRPr="00920919" w14:paraId="0221685B" w14:textId="77777777" w:rsidTr="00294407">
        <w:tc>
          <w:tcPr>
            <w:tcW w:w="2547" w:type="dxa"/>
            <w:shd w:val="clear" w:color="auto" w:fill="002060"/>
            <w:vAlign w:val="center"/>
          </w:tcPr>
          <w:p w14:paraId="66FD385C" w14:textId="578261BB" w:rsidR="00A2697D" w:rsidRPr="00920919" w:rsidRDefault="00A2697D" w:rsidP="00A2697D">
            <w:pPr>
              <w:jc w:val="center"/>
              <w:rPr>
                <w:sz w:val="36"/>
                <w:szCs w:val="36"/>
              </w:rPr>
            </w:pPr>
            <w:r w:rsidRPr="00920919">
              <w:rPr>
                <w:sz w:val="36"/>
                <w:szCs w:val="36"/>
              </w:rPr>
              <w:t>Compromiso</w:t>
            </w:r>
          </w:p>
        </w:tc>
        <w:tc>
          <w:tcPr>
            <w:tcW w:w="6281" w:type="dxa"/>
            <w:gridSpan w:val="4"/>
          </w:tcPr>
          <w:p w14:paraId="1B680F58" w14:textId="10E5600A" w:rsidR="00A2697D" w:rsidRPr="00920919" w:rsidRDefault="0029180F" w:rsidP="00890462">
            <w:pPr>
              <w:jc w:val="both"/>
              <w:rPr>
                <w:sz w:val="36"/>
                <w:szCs w:val="36"/>
              </w:rPr>
            </w:pPr>
            <w:r>
              <w:rPr>
                <w:rFonts w:cs="Arial"/>
                <w:sz w:val="24"/>
                <w:szCs w:val="24"/>
                <w:lang w:val="es-ES"/>
              </w:rPr>
              <w:t>En el Marco del Fin del Conflicto: a) E</w:t>
            </w:r>
            <w:r w:rsidRPr="002D28CE">
              <w:rPr>
                <w:rFonts w:cs="Arial"/>
                <w:sz w:val="24"/>
                <w:szCs w:val="24"/>
                <w:lang w:val="es-ES"/>
              </w:rPr>
              <w:t>l Fondo de Programas Especiales para la Paz transferirá los bienes destinados para el funcionamiento de los ETCR a</w:t>
            </w:r>
            <w:r>
              <w:rPr>
                <w:rFonts w:cs="Arial"/>
                <w:sz w:val="24"/>
                <w:szCs w:val="24"/>
                <w:lang w:val="es-ES"/>
              </w:rPr>
              <w:t xml:space="preserve"> </w:t>
            </w:r>
            <w:r w:rsidRPr="002D28CE">
              <w:rPr>
                <w:rFonts w:cs="Arial"/>
                <w:sz w:val="24"/>
                <w:szCs w:val="24"/>
                <w:lang w:val="es-ES"/>
              </w:rPr>
              <w:t>l</w:t>
            </w:r>
            <w:r>
              <w:rPr>
                <w:rFonts w:cs="Arial"/>
                <w:sz w:val="24"/>
                <w:szCs w:val="24"/>
                <w:lang w:val="es-ES"/>
              </w:rPr>
              <w:t xml:space="preserve">a ARN.  b) </w:t>
            </w:r>
            <w:r w:rsidRPr="002D28CE">
              <w:rPr>
                <w:rFonts w:cs="Arial"/>
                <w:sz w:val="24"/>
                <w:szCs w:val="24"/>
                <w:lang w:val="es-ES"/>
              </w:rPr>
              <w:t>La ARN fijará mediante resolución los aspectos necesarios para la administración, coordinación y los requisitos de ejecución de las actividades que se realicen al interior de los ETCR</w:t>
            </w:r>
            <w:r>
              <w:rPr>
                <w:rFonts w:cs="Arial"/>
                <w:sz w:val="24"/>
                <w:szCs w:val="24"/>
                <w:lang w:val="es-ES"/>
              </w:rPr>
              <w:t>. c) Acciones administrativas adelantadas en los ETCR.</w:t>
            </w:r>
          </w:p>
        </w:tc>
      </w:tr>
      <w:tr w:rsidR="005867FD" w:rsidRPr="00920919" w14:paraId="2DF6E74F" w14:textId="77777777" w:rsidTr="00294407">
        <w:tc>
          <w:tcPr>
            <w:tcW w:w="2547" w:type="dxa"/>
            <w:shd w:val="clear" w:color="auto" w:fill="002060"/>
            <w:vAlign w:val="center"/>
          </w:tcPr>
          <w:p w14:paraId="0FA7E8F5" w14:textId="3A6C800D" w:rsidR="00294407" w:rsidRPr="00920919" w:rsidRDefault="00294407" w:rsidP="00294407">
            <w:pPr>
              <w:jc w:val="center"/>
              <w:rPr>
                <w:sz w:val="36"/>
                <w:szCs w:val="36"/>
              </w:rPr>
            </w:pPr>
            <w:r w:rsidRPr="00920919">
              <w:rPr>
                <w:sz w:val="24"/>
                <w:szCs w:val="24"/>
              </w:rPr>
              <w:lastRenderedPageBreak/>
              <w:t>Indicador</w:t>
            </w:r>
          </w:p>
        </w:tc>
        <w:tc>
          <w:tcPr>
            <w:tcW w:w="1843" w:type="dxa"/>
            <w:shd w:val="clear" w:color="auto" w:fill="002060"/>
            <w:vAlign w:val="center"/>
          </w:tcPr>
          <w:p w14:paraId="6A9724DB" w14:textId="6F7938DA" w:rsidR="00294407" w:rsidRPr="00920919" w:rsidRDefault="00294407" w:rsidP="00294407">
            <w:pPr>
              <w:jc w:val="center"/>
              <w:rPr>
                <w:sz w:val="36"/>
                <w:szCs w:val="36"/>
                <w:highlight w:val="yellow"/>
              </w:rPr>
            </w:pPr>
            <w:r w:rsidRPr="00920919">
              <w:rPr>
                <w:sz w:val="24"/>
                <w:szCs w:val="24"/>
              </w:rPr>
              <w:t>Tipo</w:t>
            </w:r>
          </w:p>
        </w:tc>
        <w:tc>
          <w:tcPr>
            <w:tcW w:w="992" w:type="dxa"/>
            <w:shd w:val="clear" w:color="auto" w:fill="002060"/>
            <w:vAlign w:val="center"/>
          </w:tcPr>
          <w:p w14:paraId="436DE65C" w14:textId="18870400" w:rsidR="00294407" w:rsidRPr="00920919" w:rsidRDefault="00294407" w:rsidP="00294407">
            <w:pPr>
              <w:jc w:val="center"/>
              <w:rPr>
                <w:sz w:val="36"/>
                <w:szCs w:val="36"/>
                <w:highlight w:val="yellow"/>
              </w:rPr>
            </w:pPr>
            <w:r w:rsidRPr="00920919">
              <w:rPr>
                <w:sz w:val="24"/>
                <w:szCs w:val="24"/>
              </w:rPr>
              <w:t>Inicio</w:t>
            </w:r>
          </w:p>
        </w:tc>
        <w:tc>
          <w:tcPr>
            <w:tcW w:w="992" w:type="dxa"/>
            <w:shd w:val="clear" w:color="auto" w:fill="002060"/>
            <w:vAlign w:val="center"/>
          </w:tcPr>
          <w:p w14:paraId="6A2B3A7A" w14:textId="0EB130C5" w:rsidR="00294407" w:rsidRPr="00920919" w:rsidRDefault="00294407" w:rsidP="00294407">
            <w:pPr>
              <w:jc w:val="center"/>
              <w:rPr>
                <w:sz w:val="36"/>
                <w:szCs w:val="36"/>
                <w:highlight w:val="yellow"/>
              </w:rPr>
            </w:pPr>
            <w:r w:rsidRPr="00920919">
              <w:rPr>
                <w:sz w:val="24"/>
                <w:szCs w:val="24"/>
              </w:rPr>
              <w:t>Fin</w:t>
            </w:r>
          </w:p>
        </w:tc>
        <w:tc>
          <w:tcPr>
            <w:tcW w:w="2454" w:type="dxa"/>
            <w:shd w:val="clear" w:color="auto" w:fill="002060"/>
            <w:vAlign w:val="center"/>
          </w:tcPr>
          <w:p w14:paraId="37A0C6C9" w14:textId="3EA8B4F5" w:rsidR="00294407" w:rsidRPr="00920919" w:rsidRDefault="00294407" w:rsidP="00294407">
            <w:pPr>
              <w:jc w:val="center"/>
              <w:rPr>
                <w:sz w:val="36"/>
                <w:szCs w:val="36"/>
                <w:highlight w:val="yellow"/>
              </w:rPr>
            </w:pPr>
            <w:r w:rsidRPr="00920919">
              <w:rPr>
                <w:sz w:val="24"/>
                <w:szCs w:val="24"/>
              </w:rPr>
              <w:t>Sector</w:t>
            </w:r>
          </w:p>
        </w:tc>
      </w:tr>
      <w:tr w:rsidR="00294407" w:rsidRPr="00920919" w14:paraId="72A543C5" w14:textId="77777777" w:rsidTr="00294407">
        <w:tc>
          <w:tcPr>
            <w:tcW w:w="2547" w:type="dxa"/>
            <w:shd w:val="clear" w:color="auto" w:fill="auto"/>
            <w:vAlign w:val="center"/>
          </w:tcPr>
          <w:p w14:paraId="07CA475C" w14:textId="6D283A55" w:rsidR="002906AA" w:rsidRPr="00920919" w:rsidRDefault="0029180F" w:rsidP="00294407">
            <w:pPr>
              <w:jc w:val="center"/>
              <w:rPr>
                <w:sz w:val="24"/>
                <w:szCs w:val="24"/>
              </w:rPr>
            </w:pPr>
            <w:r w:rsidRPr="00DE6658">
              <w:rPr>
                <w:rFonts w:cs="Arial"/>
              </w:rPr>
              <w:t>Espacios Transitorios de Capacitación y Reincorporación, dispuestos y en funcionamiento según lo establecido en el decreto 1274 de 2017</w:t>
            </w:r>
          </w:p>
        </w:tc>
        <w:tc>
          <w:tcPr>
            <w:tcW w:w="1843" w:type="dxa"/>
            <w:shd w:val="clear" w:color="auto" w:fill="auto"/>
            <w:vAlign w:val="center"/>
          </w:tcPr>
          <w:p w14:paraId="76205C0D" w14:textId="2456CE22" w:rsidR="00294407" w:rsidRPr="00920919" w:rsidRDefault="00294407" w:rsidP="00DE6874">
            <w:pPr>
              <w:rPr>
                <w:sz w:val="24"/>
                <w:szCs w:val="24"/>
              </w:rPr>
            </w:pPr>
            <w:r w:rsidRPr="00DE6874">
              <w:rPr>
                <w:sz w:val="24"/>
                <w:szCs w:val="24"/>
              </w:rPr>
              <w:t>Temático</w:t>
            </w:r>
          </w:p>
        </w:tc>
        <w:tc>
          <w:tcPr>
            <w:tcW w:w="992" w:type="dxa"/>
            <w:shd w:val="clear" w:color="auto" w:fill="auto"/>
            <w:vAlign w:val="center"/>
          </w:tcPr>
          <w:p w14:paraId="52785170" w14:textId="15EE31B2" w:rsidR="00294407" w:rsidRPr="0029180F" w:rsidRDefault="0029180F" w:rsidP="00294407">
            <w:pPr>
              <w:jc w:val="center"/>
              <w:rPr>
                <w:sz w:val="24"/>
                <w:szCs w:val="24"/>
              </w:rPr>
            </w:pPr>
            <w:r w:rsidRPr="0029180F">
              <w:rPr>
                <w:sz w:val="24"/>
                <w:szCs w:val="24"/>
              </w:rPr>
              <w:t>2017</w:t>
            </w:r>
          </w:p>
        </w:tc>
        <w:tc>
          <w:tcPr>
            <w:tcW w:w="992" w:type="dxa"/>
            <w:shd w:val="clear" w:color="auto" w:fill="auto"/>
            <w:vAlign w:val="center"/>
          </w:tcPr>
          <w:p w14:paraId="6CD9131F" w14:textId="3B3D1709" w:rsidR="00294407" w:rsidRPr="0029180F" w:rsidRDefault="0029180F" w:rsidP="00294407">
            <w:pPr>
              <w:jc w:val="center"/>
              <w:rPr>
                <w:sz w:val="24"/>
                <w:szCs w:val="24"/>
              </w:rPr>
            </w:pPr>
            <w:r w:rsidRPr="0029180F">
              <w:rPr>
                <w:sz w:val="24"/>
                <w:szCs w:val="24"/>
              </w:rPr>
              <w:t>2019</w:t>
            </w:r>
          </w:p>
        </w:tc>
        <w:tc>
          <w:tcPr>
            <w:tcW w:w="2454" w:type="dxa"/>
            <w:shd w:val="clear" w:color="auto" w:fill="auto"/>
            <w:vAlign w:val="center"/>
          </w:tcPr>
          <w:p w14:paraId="5EBF7981" w14:textId="515FB72D" w:rsidR="00294407" w:rsidRPr="0029180F" w:rsidRDefault="0029180F" w:rsidP="00294407">
            <w:pPr>
              <w:jc w:val="center"/>
              <w:rPr>
                <w:sz w:val="24"/>
                <w:szCs w:val="24"/>
              </w:rPr>
            </w:pPr>
            <w:r w:rsidRPr="0029180F">
              <w:rPr>
                <w:sz w:val="24"/>
                <w:szCs w:val="24"/>
              </w:rPr>
              <w:t>Presidencia</w:t>
            </w:r>
          </w:p>
        </w:tc>
      </w:tr>
    </w:tbl>
    <w:p w14:paraId="4958367B" w14:textId="582EDE81" w:rsidR="00E2551E" w:rsidRPr="00920919" w:rsidRDefault="00E2551E" w:rsidP="00890462">
      <w:pPr>
        <w:spacing w:after="0" w:line="240" w:lineRule="auto"/>
        <w:jc w:val="both"/>
        <w:rPr>
          <w:sz w:val="24"/>
          <w:szCs w:val="24"/>
        </w:rPr>
      </w:pPr>
    </w:p>
    <w:p w14:paraId="7B9AD418" w14:textId="7DC79D98" w:rsidR="00E2551E" w:rsidRPr="00920919" w:rsidRDefault="00E2551E" w:rsidP="00890462">
      <w:pPr>
        <w:spacing w:after="0" w:line="240" w:lineRule="auto"/>
        <w:jc w:val="both"/>
        <w:rPr>
          <w:sz w:val="24"/>
          <w:szCs w:val="24"/>
        </w:rPr>
      </w:pPr>
    </w:p>
    <w:p w14:paraId="61D80848" w14:textId="5219A503" w:rsidR="002F1465" w:rsidRPr="00920919" w:rsidRDefault="002F1465" w:rsidP="002F1465">
      <w:pPr>
        <w:spacing w:after="0" w:line="240" w:lineRule="auto"/>
        <w:jc w:val="both"/>
        <w:rPr>
          <w:sz w:val="24"/>
          <w:szCs w:val="24"/>
        </w:rPr>
      </w:pPr>
    </w:p>
    <w:p w14:paraId="3A5454BF" w14:textId="06A543CE" w:rsidR="00EA5869" w:rsidRPr="00920919"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2F1465" w:rsidRPr="00920919" w14:paraId="5756F89B" w14:textId="77777777" w:rsidTr="00F172EB">
        <w:tc>
          <w:tcPr>
            <w:tcW w:w="1726" w:type="dxa"/>
            <w:tcBorders>
              <w:top w:val="single" w:sz="4" w:space="0" w:color="0070C0"/>
              <w:left w:val="single" w:sz="4" w:space="0" w:color="0070C0"/>
              <w:bottom w:val="single" w:sz="4" w:space="0" w:color="0070C0"/>
            </w:tcBorders>
            <w:vAlign w:val="center"/>
          </w:tcPr>
          <w:p w14:paraId="79C8C7E6" w14:textId="2C41ACA3" w:rsidR="002F1465" w:rsidRPr="00920919" w:rsidRDefault="002F1465" w:rsidP="002F1465">
            <w:pPr>
              <w:jc w:val="center"/>
              <w:rPr>
                <w:sz w:val="24"/>
                <w:szCs w:val="24"/>
              </w:rPr>
            </w:pPr>
            <w:r w:rsidRPr="00920919">
              <w:rPr>
                <w:noProof/>
                <w:lang w:eastAsia="es-CO"/>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082D442" w14:textId="77777777" w:rsidR="002F1465" w:rsidRPr="00920919" w:rsidRDefault="002F1465" w:rsidP="005965DF">
            <w:pPr>
              <w:jc w:val="both"/>
              <w:rPr>
                <w:color w:val="002060"/>
                <w:sz w:val="28"/>
                <w:szCs w:val="28"/>
              </w:rPr>
            </w:pPr>
            <w:r w:rsidRPr="00920919">
              <w:rPr>
                <w:color w:val="002060"/>
                <w:sz w:val="28"/>
                <w:szCs w:val="28"/>
              </w:rPr>
              <w:t>¿Cómo lo hicimos?</w:t>
            </w:r>
          </w:p>
          <w:p w14:paraId="04BEBFBE" w14:textId="77777777" w:rsidR="00F17A86" w:rsidRDefault="00F17A86" w:rsidP="0029180F">
            <w:pPr>
              <w:rPr>
                <w:rFonts w:cstheme="minorHAnsi"/>
              </w:rPr>
            </w:pPr>
          </w:p>
          <w:p w14:paraId="0E3D4F58" w14:textId="3F7BA03B" w:rsidR="0029180F" w:rsidRPr="00B46A27" w:rsidRDefault="0029180F" w:rsidP="0029180F">
            <w:pPr>
              <w:rPr>
                <w:rFonts w:cstheme="minorHAnsi"/>
              </w:rPr>
            </w:pPr>
            <w:r w:rsidRPr="00B46A27">
              <w:rPr>
                <w:rFonts w:cstheme="minorHAnsi"/>
              </w:rPr>
              <w:t>El 9 de septiembre de 2019 fue expedido el Decreto 1629 de 2019, asignando a la Agencia las siguientes funciones:</w:t>
            </w:r>
          </w:p>
          <w:p w14:paraId="06B77C73" w14:textId="77777777" w:rsidR="0048016F" w:rsidRDefault="0048016F" w:rsidP="0048016F">
            <w:pPr>
              <w:rPr>
                <w:rFonts w:cstheme="minorHAnsi"/>
                <w:i/>
                <w:iCs/>
              </w:rPr>
            </w:pPr>
          </w:p>
          <w:p w14:paraId="61199B3D" w14:textId="24450402" w:rsidR="0029180F" w:rsidRPr="00B46A27" w:rsidRDefault="0029180F" w:rsidP="0048016F">
            <w:pPr>
              <w:rPr>
                <w:rFonts w:cstheme="minorHAnsi"/>
                <w:i/>
                <w:iCs/>
              </w:rPr>
            </w:pPr>
            <w:r w:rsidRPr="00B46A27">
              <w:rPr>
                <w:rFonts w:cstheme="minorHAnsi"/>
                <w:i/>
                <w:iCs/>
              </w:rPr>
              <w:t>22. Administrar los inmuebles que requiera la Fuerza Pública para prestar seguridad donde se ubicaron los Espacios Territoriales de Capacitación y Reincorporación, o donde el Gobierno nacional estime pertinente reubicarlos</w:t>
            </w:r>
          </w:p>
          <w:p w14:paraId="2E655CCF" w14:textId="77777777" w:rsidR="0029180F" w:rsidRPr="00B46A27" w:rsidRDefault="0029180F" w:rsidP="0048016F">
            <w:pPr>
              <w:rPr>
                <w:rFonts w:cstheme="minorHAnsi"/>
                <w:i/>
                <w:iCs/>
              </w:rPr>
            </w:pPr>
            <w:r w:rsidRPr="00B46A27">
              <w:rPr>
                <w:rFonts w:cstheme="minorHAnsi"/>
                <w:i/>
                <w:iCs/>
              </w:rPr>
              <w:t>“23. Administrar los bienes y servicios, así como establecer los suministros necesarios para adelantar el proceso de reincorporación en los lugares y por el término que establezca el Gobierno Nacional, para lo cual el Director de la Agencia para la Reincorporación y la Normalización (ARN), adoptará el reglamento. Lo anterior podrá ser ejecutado a través del Fondo Colombia en Paz (FCP)"</w:t>
            </w:r>
          </w:p>
          <w:p w14:paraId="01A64F63" w14:textId="77777777" w:rsidR="0029180F" w:rsidRPr="00B46A27" w:rsidRDefault="0029180F" w:rsidP="0029180F">
            <w:pPr>
              <w:pStyle w:val="Default"/>
              <w:rPr>
                <w:rFonts w:asciiTheme="minorHAnsi" w:hAnsiTheme="minorHAnsi" w:cstheme="minorHAnsi"/>
                <w:i/>
                <w:iCs/>
                <w:color w:val="auto"/>
                <w:sz w:val="22"/>
                <w:szCs w:val="22"/>
                <w:lang w:val="es-ES_tradnl" w:eastAsia="es-MX"/>
              </w:rPr>
            </w:pPr>
          </w:p>
          <w:p w14:paraId="644048CD" w14:textId="77777777" w:rsidR="0029180F" w:rsidRPr="00B46A27" w:rsidRDefault="0029180F" w:rsidP="0029180F">
            <w:pPr>
              <w:pStyle w:val="Default"/>
              <w:rPr>
                <w:rFonts w:asciiTheme="minorHAnsi" w:hAnsiTheme="minorHAnsi" w:cstheme="minorHAnsi"/>
                <w:color w:val="auto"/>
                <w:sz w:val="22"/>
                <w:szCs w:val="22"/>
                <w:lang w:eastAsia="en-US"/>
              </w:rPr>
            </w:pPr>
            <w:r w:rsidRPr="00B46A27">
              <w:rPr>
                <w:rFonts w:asciiTheme="minorHAnsi" w:hAnsiTheme="minorHAnsi" w:cstheme="minorHAnsi"/>
                <w:color w:val="auto"/>
                <w:sz w:val="22"/>
                <w:szCs w:val="22"/>
                <w:lang w:eastAsia="en-US"/>
              </w:rPr>
              <w:t xml:space="preserve">En consecuencia, la ARN adelanta la gestión para garantizar el mantenimiento, los servicios públicos, el saneamiento básico, el arrendamiento de predios y otros servicios relacionados para el adecuado funcionamiento de los lugares donde se sigue adelantando el proceso de reincorporación. Las actividades desarrolladas en términos generales, son las que se presentan a continuación: </w:t>
            </w:r>
          </w:p>
          <w:p w14:paraId="1135D763" w14:textId="77777777" w:rsidR="0029180F" w:rsidRPr="00B46A27" w:rsidRDefault="0029180F" w:rsidP="0029180F">
            <w:pPr>
              <w:pStyle w:val="Default"/>
              <w:rPr>
                <w:rFonts w:asciiTheme="minorHAnsi" w:hAnsiTheme="minorHAnsi" w:cstheme="minorHAnsi"/>
                <w:color w:val="auto"/>
                <w:sz w:val="22"/>
                <w:szCs w:val="22"/>
                <w:lang w:eastAsia="en-US"/>
              </w:rPr>
            </w:pPr>
          </w:p>
          <w:p w14:paraId="5994BA05" w14:textId="77777777" w:rsidR="0029180F" w:rsidRPr="00B46A27" w:rsidRDefault="0029180F" w:rsidP="00631DF4">
            <w:pPr>
              <w:pStyle w:val="Prrafodelista"/>
              <w:numPr>
                <w:ilvl w:val="0"/>
                <w:numId w:val="5"/>
              </w:numPr>
              <w:spacing w:after="200" w:line="276" w:lineRule="auto"/>
              <w:rPr>
                <w:rFonts w:cstheme="minorHAnsi"/>
                <w:b/>
              </w:rPr>
            </w:pPr>
            <w:r w:rsidRPr="00B46A27">
              <w:rPr>
                <w:rFonts w:cstheme="minorHAnsi"/>
                <w:b/>
              </w:rPr>
              <w:t xml:space="preserve">Incorporación de recursos </w:t>
            </w:r>
          </w:p>
          <w:p w14:paraId="39B12F7A" w14:textId="24CE9A5E" w:rsidR="0029180F" w:rsidRDefault="0029180F" w:rsidP="0029180F">
            <w:pPr>
              <w:rPr>
                <w:rFonts w:cstheme="minorHAnsi"/>
                <w:bCs/>
                <w:lang w:val="es-MX"/>
              </w:rPr>
            </w:pPr>
            <w:r w:rsidRPr="00B46A27">
              <w:rPr>
                <w:rFonts w:cstheme="minorHAnsi"/>
                <w:bCs/>
                <w:lang w:val="es-MX"/>
              </w:rPr>
              <w:t>Desde el año 2018, la gestión administrativa para garantizar el funcionamiento de los antiguos ETCR y la implementación de la función asignada en el Decreto 1629 de 2019, se soporta presupuestalmente a través del Convenio No. 1067 de 2018, suscrito con el Programa de Naciones Unidas para el Desarrollo - PNUD, motivo por el cual durante la vigencia 2021, de acuerdo a la disponibilidad presupuestal de la Agencia, se realizó incorporación de recursos tal como se presenta a continuación:</w:t>
            </w:r>
          </w:p>
          <w:p w14:paraId="2504C06C" w14:textId="77777777" w:rsidR="00F17A86" w:rsidRPr="00B46A27" w:rsidRDefault="00F17A86" w:rsidP="0029180F">
            <w:pPr>
              <w:rPr>
                <w:rFonts w:cstheme="minorHAnsi"/>
                <w:bCs/>
                <w:lang w:val="es-MX"/>
              </w:rPr>
            </w:pPr>
          </w:p>
          <w:p w14:paraId="5D77371B" w14:textId="77777777" w:rsidR="0029180F" w:rsidRPr="00B46A27" w:rsidRDefault="0029180F" w:rsidP="00631DF4">
            <w:pPr>
              <w:pStyle w:val="Prrafodelista"/>
              <w:numPr>
                <w:ilvl w:val="0"/>
                <w:numId w:val="6"/>
              </w:numPr>
              <w:spacing w:after="200" w:line="276" w:lineRule="auto"/>
              <w:rPr>
                <w:rFonts w:cstheme="minorHAnsi"/>
                <w:bCs/>
                <w:lang w:val="es-MX"/>
              </w:rPr>
            </w:pPr>
            <w:r w:rsidRPr="00B46A27">
              <w:rPr>
                <w:rFonts w:cstheme="minorHAnsi"/>
              </w:rPr>
              <w:lastRenderedPageBreak/>
              <w:t>Enmienda No. 12 del 26 de marzo de 2021, Por la cual se incrementó el valor del aporte de ARN en doce mil quinientos treinta y cinco millones de pesos ($12.535.000.000)</w:t>
            </w:r>
          </w:p>
          <w:p w14:paraId="4189F434" w14:textId="77777777" w:rsidR="0029180F" w:rsidRPr="00B46A27" w:rsidRDefault="0029180F" w:rsidP="00631DF4">
            <w:pPr>
              <w:pStyle w:val="Prrafodelista"/>
              <w:numPr>
                <w:ilvl w:val="0"/>
                <w:numId w:val="6"/>
              </w:numPr>
              <w:spacing w:after="200" w:line="276" w:lineRule="auto"/>
              <w:rPr>
                <w:rFonts w:cstheme="minorHAnsi"/>
                <w:bCs/>
                <w:lang w:val="es-MX"/>
              </w:rPr>
            </w:pPr>
            <w:r w:rsidRPr="00B46A27">
              <w:rPr>
                <w:rFonts w:cstheme="minorHAnsi"/>
              </w:rPr>
              <w:t>Enmienda No. 13 del 29 de julio de 2021, Por la cual se extendió el plazo del acuerdo hasta el 31 de marzo de 2022</w:t>
            </w:r>
          </w:p>
          <w:p w14:paraId="646A5038" w14:textId="77777777" w:rsidR="0029180F" w:rsidRPr="00B46A27" w:rsidRDefault="0029180F" w:rsidP="0029180F">
            <w:pPr>
              <w:spacing w:before="120" w:after="120"/>
              <w:rPr>
                <w:rFonts w:cstheme="minorHAnsi"/>
              </w:rPr>
            </w:pPr>
            <w:r w:rsidRPr="00B46A27">
              <w:rPr>
                <w:rFonts w:cstheme="minorHAnsi"/>
              </w:rPr>
              <w:t>Adicionalmente, en el mes de septiembre de 2021 y con el propósito de optimizar la gestión administrativa en los lugares donde se adelanta el proceso de reincorporación, para dar respuesta oportuna a las necesidades de provisión de bienes y servicios, fue suscrita una nueva alianza con el PNUD con unos aportes iniciales por parte de la ARN por valor de $ CINCO MIL SETECIENTOS NOVENTA Y TRES MILLONES SETECIENTOS SETENTA Y TRES MIL DOSCIENTOS CUATRO PESOS MCTE (</w:t>
            </w:r>
            <w:r w:rsidRPr="00B46A27">
              <w:rPr>
                <w:rFonts w:cstheme="minorHAnsi"/>
                <w:b/>
              </w:rPr>
              <w:t xml:space="preserve">COP $5.793.773.204), </w:t>
            </w:r>
            <w:r w:rsidRPr="00B46A27">
              <w:rPr>
                <w:rFonts w:cstheme="minorHAnsi"/>
              </w:rPr>
              <w:t>con el fin de ejecutar las siguientes acciones:</w:t>
            </w:r>
          </w:p>
          <w:p w14:paraId="5D9472AC" w14:textId="77777777" w:rsidR="0029180F" w:rsidRPr="00B46A27" w:rsidRDefault="0029180F" w:rsidP="00631DF4">
            <w:pPr>
              <w:pStyle w:val="Prrafodelista"/>
              <w:numPr>
                <w:ilvl w:val="0"/>
                <w:numId w:val="7"/>
              </w:numPr>
              <w:rPr>
                <w:rFonts w:cstheme="minorHAnsi"/>
              </w:rPr>
            </w:pPr>
            <w:r w:rsidRPr="00B46A27">
              <w:rPr>
                <w:rFonts w:cstheme="minorHAnsi"/>
              </w:rPr>
              <w:t>Potenciar la gestión operativa a través de la contratación del talento humano requerido en cada uno de los lugares, lo cual implica atender los gastos relacionados con el pago de salarios, viáticos y gastos de viaje</w:t>
            </w:r>
          </w:p>
          <w:p w14:paraId="706F85B4" w14:textId="77777777" w:rsidR="0048016F" w:rsidRDefault="0029180F" w:rsidP="00631DF4">
            <w:pPr>
              <w:pStyle w:val="Prrafodelista"/>
              <w:numPr>
                <w:ilvl w:val="0"/>
                <w:numId w:val="7"/>
              </w:numPr>
              <w:contextualSpacing w:val="0"/>
              <w:rPr>
                <w:rFonts w:cstheme="minorHAnsi"/>
                <w:lang w:val="es-ES"/>
              </w:rPr>
            </w:pPr>
            <w:r w:rsidRPr="0048016F">
              <w:rPr>
                <w:rFonts w:cstheme="minorHAnsi"/>
                <w:lang w:val="es-ES"/>
              </w:rPr>
              <w:t>Gestionar los contratos de arrendamiento de los predios requeridos para adelantar el proceso de reincorporación</w:t>
            </w:r>
          </w:p>
          <w:p w14:paraId="55031387" w14:textId="51CE3FB9" w:rsidR="0029180F" w:rsidRPr="0048016F" w:rsidRDefault="0029180F" w:rsidP="00631DF4">
            <w:pPr>
              <w:pStyle w:val="Prrafodelista"/>
              <w:numPr>
                <w:ilvl w:val="0"/>
                <w:numId w:val="7"/>
              </w:numPr>
              <w:contextualSpacing w:val="0"/>
              <w:rPr>
                <w:rFonts w:cstheme="minorHAnsi"/>
                <w:lang w:val="es-ES"/>
              </w:rPr>
            </w:pPr>
            <w:r w:rsidRPr="0048016F">
              <w:rPr>
                <w:rFonts w:cstheme="minorHAnsi"/>
                <w:lang w:val="es-ES"/>
              </w:rPr>
              <w:t>Gestionar los contratos de arrendamiento de los predios requeridos por la Fuerza Pública para brindar las garantías de seguridad a la población en proceso de reincorporación</w:t>
            </w:r>
          </w:p>
          <w:p w14:paraId="72110D43" w14:textId="3ABAAC84" w:rsidR="0029180F" w:rsidRDefault="0029180F" w:rsidP="00631DF4">
            <w:pPr>
              <w:pStyle w:val="Prrafodelista"/>
              <w:numPr>
                <w:ilvl w:val="0"/>
                <w:numId w:val="7"/>
              </w:numPr>
              <w:contextualSpacing w:val="0"/>
              <w:rPr>
                <w:rFonts w:cstheme="minorHAnsi"/>
                <w:lang w:val="es-ES"/>
              </w:rPr>
            </w:pPr>
            <w:r w:rsidRPr="00B46A27">
              <w:rPr>
                <w:rFonts w:cstheme="minorHAnsi"/>
                <w:lang w:val="es-ES"/>
              </w:rPr>
              <w:t xml:space="preserve">Garantizar la gestión administrativa para atender las necesidades relacionadas con el suministro de bienes y servicios, saneamiento básico y demás necesidades sobrevinientes. </w:t>
            </w:r>
          </w:p>
          <w:p w14:paraId="26792271" w14:textId="77777777" w:rsidR="0048016F" w:rsidRPr="00B46A27" w:rsidRDefault="0048016F" w:rsidP="0048016F">
            <w:pPr>
              <w:pStyle w:val="Prrafodelista"/>
              <w:contextualSpacing w:val="0"/>
              <w:rPr>
                <w:rFonts w:cstheme="minorHAnsi"/>
                <w:lang w:val="es-ES"/>
              </w:rPr>
            </w:pPr>
          </w:p>
          <w:p w14:paraId="1336C0C6" w14:textId="77777777" w:rsidR="0029180F" w:rsidRPr="00B46A27" w:rsidRDefault="0029180F" w:rsidP="0029180F">
            <w:pPr>
              <w:rPr>
                <w:rFonts w:cstheme="minorHAnsi"/>
              </w:rPr>
            </w:pPr>
            <w:r w:rsidRPr="00B46A27">
              <w:rPr>
                <w:rFonts w:cstheme="minorHAnsi"/>
              </w:rPr>
              <w:t xml:space="preserve">Posteriormente en el mes de diciembre de 2021, fueron incorporados recursos adicionales por valor de CINCO MIL MILLONES DE PESOS </w:t>
            </w:r>
            <w:r w:rsidRPr="00B46A27">
              <w:rPr>
                <w:rFonts w:cstheme="minorHAnsi"/>
                <w:b/>
              </w:rPr>
              <w:t xml:space="preserve">(COP $5.000.000.000), </w:t>
            </w:r>
            <w:r w:rsidRPr="00B46A27">
              <w:rPr>
                <w:rFonts w:cstheme="minorHAnsi"/>
              </w:rPr>
              <w:t>para atender todos los gastos derivados de los procesos de traslado de las comunidades en proceso de reincorporación.</w:t>
            </w:r>
          </w:p>
          <w:p w14:paraId="368E221B" w14:textId="77777777" w:rsidR="0029180F" w:rsidRPr="00B46A27" w:rsidRDefault="0029180F" w:rsidP="0029180F">
            <w:pPr>
              <w:pStyle w:val="Default"/>
              <w:rPr>
                <w:rFonts w:asciiTheme="minorHAnsi" w:hAnsiTheme="minorHAnsi" w:cstheme="minorHAnsi"/>
                <w:color w:val="auto"/>
                <w:sz w:val="22"/>
                <w:szCs w:val="22"/>
                <w:lang w:eastAsia="en-US"/>
              </w:rPr>
            </w:pPr>
          </w:p>
          <w:p w14:paraId="05BF25CD" w14:textId="482DF256" w:rsidR="0029180F" w:rsidRPr="0048016F" w:rsidRDefault="0029180F" w:rsidP="00631DF4">
            <w:pPr>
              <w:pStyle w:val="Prrafodelista"/>
              <w:numPr>
                <w:ilvl w:val="0"/>
                <w:numId w:val="5"/>
              </w:numPr>
              <w:rPr>
                <w:rFonts w:cstheme="minorHAnsi"/>
                <w:b/>
                <w:u w:val="single"/>
              </w:rPr>
            </w:pPr>
            <w:r w:rsidRPr="00B46A27">
              <w:rPr>
                <w:rFonts w:cstheme="minorHAnsi"/>
                <w:b/>
              </w:rPr>
              <w:t>Provisión de bienes y servicios en los antiguos ETCR</w:t>
            </w:r>
          </w:p>
          <w:p w14:paraId="1119E199" w14:textId="77777777" w:rsidR="0029180F" w:rsidRPr="00B46A27" w:rsidRDefault="0029180F" w:rsidP="0029180F">
            <w:pPr>
              <w:rPr>
                <w:rFonts w:cstheme="minorHAnsi"/>
              </w:rPr>
            </w:pPr>
            <w:r w:rsidRPr="00B46A27">
              <w:rPr>
                <w:rFonts w:cstheme="minorHAnsi"/>
              </w:rPr>
              <w:t xml:space="preserve">Desde que la entidad asumió el proceso de administración de los </w:t>
            </w:r>
            <w:r>
              <w:rPr>
                <w:rFonts w:cstheme="minorHAnsi"/>
              </w:rPr>
              <w:t xml:space="preserve">antiguos </w:t>
            </w:r>
            <w:r w:rsidRPr="00B46A27">
              <w:rPr>
                <w:rFonts w:cstheme="minorHAnsi"/>
              </w:rPr>
              <w:t xml:space="preserve">ETCR, se han venido adelantando todas las acciones conducentes al mejoramiento las condiciones de habitabilidad de dichos espacios y el suministro de servicios públicos y saneamiento básico, que han permitido garantizar el acceso al agua potable, energía eléctrica, tratamiento de aguas residuales, recolección de residuos sólidos y suministro de gas.  En consecuencia, la ARN adelanta la gestión para garantizar el mantenimiento, los servicios públicos, el saneamiento básico, el arrendamiento de predios y otros servicios relacionados para el adecuado funcionamiento de los lugares. Las actividades desarrolladas en términos generales, son las que se presentan a continuación: </w:t>
            </w:r>
          </w:p>
          <w:p w14:paraId="4577A3BE" w14:textId="77777777" w:rsidR="0048016F" w:rsidRDefault="0048016F" w:rsidP="0029180F">
            <w:pPr>
              <w:rPr>
                <w:rFonts w:cstheme="minorHAnsi"/>
                <w:b/>
              </w:rPr>
            </w:pPr>
          </w:p>
          <w:p w14:paraId="28F05FEF" w14:textId="6C3196EB" w:rsidR="0029180F" w:rsidRPr="00B46A27" w:rsidRDefault="0029180F" w:rsidP="0029180F">
            <w:pPr>
              <w:rPr>
                <w:rFonts w:cstheme="minorHAnsi"/>
                <w:b/>
                <w:bCs/>
                <w:lang w:eastAsia="es-CO"/>
              </w:rPr>
            </w:pPr>
            <w:r w:rsidRPr="00B46A27">
              <w:rPr>
                <w:rFonts w:cstheme="minorHAnsi"/>
                <w:b/>
              </w:rPr>
              <w:t>Mantenimiento de infraestructura física</w:t>
            </w:r>
          </w:p>
          <w:p w14:paraId="289D13E4" w14:textId="77777777" w:rsidR="0029180F" w:rsidRPr="00B46A27" w:rsidRDefault="0029180F" w:rsidP="0029180F">
            <w:pPr>
              <w:pStyle w:val="Default"/>
              <w:rPr>
                <w:rFonts w:asciiTheme="minorHAnsi" w:hAnsiTheme="minorHAnsi" w:cstheme="minorHAnsi"/>
                <w:sz w:val="22"/>
                <w:szCs w:val="22"/>
              </w:rPr>
            </w:pPr>
            <w:r w:rsidRPr="00B46A27">
              <w:rPr>
                <w:rFonts w:asciiTheme="minorHAnsi" w:hAnsiTheme="minorHAnsi" w:cstheme="minorHAnsi"/>
                <w:sz w:val="22"/>
                <w:szCs w:val="22"/>
              </w:rPr>
              <w:lastRenderedPageBreak/>
              <w:t xml:space="preserve">La gestión administrativa tiene como alcance el mantenimiento de módulos habitacionales y unidades sanitarias que, por su propio uso, paso del tiempo, agentes externos o accidentes ocasionales sufran degradación en sus elementos. Es decir, en desarrollo de la administración se reparan o reemplazan las piezas deterioradas que lo requieran (como tejas, láminas de board, piezas de madera, llaves de paso, entre otros.); además, de insumos para mantenimiento de fachada en caso de ser necesario como pintura (impermeabilizante y anticorrosiva). </w:t>
            </w:r>
          </w:p>
          <w:p w14:paraId="2D10D0EB" w14:textId="77777777" w:rsidR="0029180F" w:rsidRPr="00B46A27" w:rsidRDefault="0029180F" w:rsidP="0029180F">
            <w:pPr>
              <w:pStyle w:val="Default"/>
              <w:ind w:left="720"/>
              <w:rPr>
                <w:rFonts w:asciiTheme="minorHAnsi" w:hAnsiTheme="minorHAnsi" w:cstheme="minorHAnsi"/>
                <w:sz w:val="22"/>
                <w:szCs w:val="22"/>
                <w:u w:val="single"/>
              </w:rPr>
            </w:pPr>
          </w:p>
          <w:p w14:paraId="792B9EF6" w14:textId="77777777" w:rsidR="0029180F" w:rsidRPr="00B46A27" w:rsidRDefault="0029180F" w:rsidP="0029180F">
            <w:pPr>
              <w:autoSpaceDE w:val="0"/>
              <w:autoSpaceDN w:val="0"/>
              <w:spacing w:line="252" w:lineRule="auto"/>
              <w:rPr>
                <w:rFonts w:cstheme="minorHAnsi"/>
                <w:lang w:eastAsia="es-ES"/>
              </w:rPr>
            </w:pPr>
            <w:r w:rsidRPr="00B46A27">
              <w:rPr>
                <w:rFonts w:cstheme="minorHAnsi"/>
                <w:lang w:eastAsia="es-ES"/>
              </w:rPr>
              <w:t xml:space="preserve">Las acciones ejecutadas a la fecha son las que a continuación se relacionan: </w:t>
            </w:r>
          </w:p>
          <w:p w14:paraId="197E2A2C"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de infraestructura general de módulos habitacionales, cambio de puertas, chapas, pintura de fachadas, arreglo de vidrios</w:t>
            </w:r>
            <w:r>
              <w:rPr>
                <w:rFonts w:asciiTheme="minorHAnsi" w:hAnsiTheme="minorHAnsi" w:cstheme="minorHAnsi"/>
                <w:sz w:val="22"/>
                <w:szCs w:val="22"/>
              </w:rPr>
              <w:t>,</w:t>
            </w:r>
            <w:r w:rsidRPr="007D56C0">
              <w:rPr>
                <w:rFonts w:asciiTheme="minorHAnsi" w:hAnsiTheme="minorHAnsi" w:cstheme="minorHAnsi"/>
                <w:sz w:val="22"/>
                <w:szCs w:val="22"/>
              </w:rPr>
              <w:t xml:space="preserve"> </w:t>
            </w:r>
            <w:r>
              <w:rPr>
                <w:rFonts w:asciiTheme="minorHAnsi" w:hAnsiTheme="minorHAnsi" w:cstheme="minorHAnsi"/>
                <w:sz w:val="22"/>
                <w:szCs w:val="22"/>
              </w:rPr>
              <w:t>e</w:t>
            </w:r>
            <w:r w:rsidRPr="007D56C0">
              <w:rPr>
                <w:rFonts w:asciiTheme="minorHAnsi" w:hAnsiTheme="minorHAnsi" w:cstheme="minorHAnsi"/>
                <w:sz w:val="22"/>
                <w:szCs w:val="22"/>
              </w:rPr>
              <w:t>tc.</w:t>
            </w:r>
          </w:p>
          <w:p w14:paraId="1824958E"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de vías internas, sistemas de trinchos para estabilización del terreno y obras de drenaje para conducción de aguas por escorrentía.</w:t>
            </w:r>
          </w:p>
          <w:p w14:paraId="4E8A2B92"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de estructura de soporte para tanques de almacenamiento de agua potable.</w:t>
            </w:r>
          </w:p>
          <w:p w14:paraId="25B668B7"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Mantenimiento y mejoramiento de estructuras metálicas de fachadas y cubiertas de zonas comunes.</w:t>
            </w:r>
          </w:p>
          <w:p w14:paraId="61DC04CD"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Cerramientos de sistemas operativos en los espacios (PTAP</w:t>
            </w:r>
            <w:r>
              <w:rPr>
                <w:rStyle w:val="Refdenotaalpie"/>
                <w:rFonts w:asciiTheme="minorHAnsi" w:hAnsiTheme="minorHAnsi" w:cstheme="minorHAnsi"/>
                <w:sz w:val="22"/>
                <w:szCs w:val="22"/>
              </w:rPr>
              <w:footnoteReference w:id="1"/>
            </w:r>
            <w:r w:rsidRPr="007D56C0">
              <w:rPr>
                <w:rFonts w:asciiTheme="minorHAnsi" w:hAnsiTheme="minorHAnsi" w:cstheme="minorHAnsi"/>
                <w:sz w:val="22"/>
                <w:szCs w:val="22"/>
              </w:rPr>
              <w:t>, PTAR</w:t>
            </w:r>
            <w:r>
              <w:rPr>
                <w:rStyle w:val="Refdenotaalpie"/>
                <w:rFonts w:asciiTheme="minorHAnsi" w:hAnsiTheme="minorHAnsi" w:cstheme="minorHAnsi"/>
                <w:sz w:val="22"/>
                <w:szCs w:val="22"/>
              </w:rPr>
              <w:footnoteReference w:id="2"/>
            </w:r>
            <w:r w:rsidRPr="007D56C0">
              <w:rPr>
                <w:rFonts w:asciiTheme="minorHAnsi" w:hAnsiTheme="minorHAnsi" w:cstheme="minorHAnsi"/>
                <w:sz w:val="22"/>
                <w:szCs w:val="22"/>
              </w:rPr>
              <w:t xml:space="preserve"> y plantas eléctricas).</w:t>
            </w:r>
          </w:p>
          <w:p w14:paraId="50B121E2"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Reparaciones locativas en centros de desarrollo infantil y construcciones complementarias.</w:t>
            </w:r>
          </w:p>
          <w:p w14:paraId="366DCD25"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 xml:space="preserve">Jornadas de ornato y embellecimiento </w:t>
            </w:r>
          </w:p>
          <w:p w14:paraId="2D63C974" w14:textId="77777777" w:rsidR="0029180F" w:rsidRPr="00DD1CE4" w:rsidRDefault="0029180F" w:rsidP="00631DF4">
            <w:pPr>
              <w:pStyle w:val="Default"/>
              <w:numPr>
                <w:ilvl w:val="0"/>
                <w:numId w:val="8"/>
              </w:numPr>
              <w:rPr>
                <w:rFonts w:asciiTheme="minorHAnsi" w:hAnsiTheme="minorHAnsi" w:cstheme="minorHAnsi"/>
                <w:sz w:val="22"/>
                <w:szCs w:val="22"/>
              </w:rPr>
            </w:pPr>
            <w:r w:rsidRPr="00DD1CE4">
              <w:rPr>
                <w:rFonts w:asciiTheme="minorHAnsi" w:hAnsiTheme="minorHAnsi" w:cstheme="minorHAnsi"/>
                <w:sz w:val="22"/>
                <w:szCs w:val="22"/>
              </w:rPr>
              <w:t xml:space="preserve">Adecuación de áreas de distanciamiento social preventiva en el marco de la emergencia sanitaria generada por el COVID 19. </w:t>
            </w:r>
          </w:p>
          <w:p w14:paraId="683425C7"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Suministro de kit de repuestos, para intervención inmediata de la infraestructura por parte de campamenteros y/o administradores.</w:t>
            </w:r>
          </w:p>
          <w:p w14:paraId="339A3DCD"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Adecuación y mejoramiento muros de contención de bocatomas para el correcto funcionamiento de la PTAP.</w:t>
            </w:r>
          </w:p>
          <w:p w14:paraId="3F41BAA3"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Adecuación puntos de acopio para la correcta recolección de residuos.</w:t>
            </w:r>
          </w:p>
          <w:p w14:paraId="57A1DEE6" w14:textId="77777777" w:rsidR="0029180F" w:rsidRPr="007D56C0" w:rsidRDefault="0029180F" w:rsidP="00631DF4">
            <w:pPr>
              <w:pStyle w:val="Default"/>
              <w:numPr>
                <w:ilvl w:val="0"/>
                <w:numId w:val="8"/>
              </w:numPr>
              <w:rPr>
                <w:rFonts w:asciiTheme="minorHAnsi" w:hAnsiTheme="minorHAnsi" w:cstheme="minorHAnsi"/>
                <w:sz w:val="22"/>
                <w:szCs w:val="22"/>
              </w:rPr>
            </w:pPr>
            <w:r w:rsidRPr="007D56C0">
              <w:rPr>
                <w:rFonts w:asciiTheme="minorHAnsi" w:hAnsiTheme="minorHAnsi" w:cstheme="minorHAnsi"/>
                <w:sz w:val="22"/>
                <w:szCs w:val="22"/>
              </w:rPr>
              <w:t>Estabilización de módulos habitacionales con cambio de elementos estructurales.</w:t>
            </w:r>
          </w:p>
          <w:p w14:paraId="77F0F5AB" w14:textId="77777777" w:rsidR="0029180F" w:rsidRPr="002260C0" w:rsidRDefault="0029180F" w:rsidP="00631DF4">
            <w:pPr>
              <w:pStyle w:val="Default"/>
              <w:numPr>
                <w:ilvl w:val="0"/>
                <w:numId w:val="8"/>
              </w:numPr>
              <w:rPr>
                <w:rFonts w:asciiTheme="minorHAnsi" w:hAnsiTheme="minorHAnsi" w:cstheme="minorHAnsi"/>
                <w:sz w:val="22"/>
                <w:szCs w:val="22"/>
              </w:rPr>
            </w:pPr>
            <w:r w:rsidRPr="00B46A27">
              <w:rPr>
                <w:rFonts w:asciiTheme="minorHAnsi" w:hAnsiTheme="minorHAnsi" w:cstheme="minorHAnsi"/>
                <w:sz w:val="22"/>
                <w:szCs w:val="22"/>
              </w:rPr>
              <w:t>Actividades de rocería y mantenimiento de zonas verdes.</w:t>
            </w:r>
          </w:p>
          <w:p w14:paraId="720D9256" w14:textId="77777777" w:rsidR="0029180F" w:rsidRPr="00B46A27" w:rsidRDefault="0029180F" w:rsidP="0029180F">
            <w:pPr>
              <w:tabs>
                <w:tab w:val="left" w:pos="3780"/>
              </w:tabs>
              <w:spacing w:line="360" w:lineRule="auto"/>
              <w:rPr>
                <w:rFonts w:cstheme="minorHAnsi"/>
                <w:b/>
              </w:rPr>
            </w:pPr>
          </w:p>
          <w:p w14:paraId="0DB3D8C5" w14:textId="77777777" w:rsidR="0029180F" w:rsidRPr="00B46A27" w:rsidRDefault="0029180F" w:rsidP="0048016F">
            <w:pPr>
              <w:tabs>
                <w:tab w:val="left" w:pos="3780"/>
              </w:tabs>
              <w:rPr>
                <w:rFonts w:cstheme="minorHAnsi"/>
                <w:b/>
              </w:rPr>
            </w:pPr>
            <w:r w:rsidRPr="00B46A27">
              <w:rPr>
                <w:rFonts w:cstheme="minorHAnsi"/>
                <w:b/>
              </w:rPr>
              <w:t>Saneamiento básico</w:t>
            </w:r>
          </w:p>
          <w:p w14:paraId="478FA3DB" w14:textId="77777777" w:rsidR="0029180F" w:rsidRPr="00B46A27" w:rsidRDefault="0029180F" w:rsidP="0048016F">
            <w:pPr>
              <w:rPr>
                <w:rFonts w:cstheme="minorHAnsi"/>
              </w:rPr>
            </w:pPr>
            <w:r w:rsidRPr="00B46A27">
              <w:rPr>
                <w:rFonts w:cstheme="minorHAnsi"/>
              </w:rPr>
              <w:t xml:space="preserve">La gestión administrativa se garantiza mediante  el empleo y operación de Plantas de Tratamiento de Agua Potable PTAP, Sistemas Sépticos Integrados para el Tratamiento de Aguas Residuales, Plantas de Tratamiento de Agua Residual – PTAR, recolección de residuos sólidos que incluye la contratación de empresas autorizadas públicas y privadas para la disposición final de los mismos, campañas de buenas prácticas ambientales y cumplimiento a los </w:t>
            </w:r>
            <w:r w:rsidRPr="00B46A27">
              <w:rPr>
                <w:rFonts w:cstheme="minorHAnsi"/>
              </w:rPr>
              <w:lastRenderedPageBreak/>
              <w:t>instructivos y planes ambientales establecidos para el control, monitoreo y mantenimiento de dichos sistemas. Así mismo, se gestiona el suministro de los insumos necesarios para la potabilización del agua y suministros para el control y manejo adecuado de aguas residuales, en cumplimiento con lo establecido en el Decreto 1397 de 2016, gestionando y controlando de esta manera el componente ambiental en los lugares indicados.</w:t>
            </w:r>
          </w:p>
          <w:p w14:paraId="6C8DDB6D" w14:textId="77777777" w:rsidR="0029180F" w:rsidRPr="00B46A27" w:rsidRDefault="0029180F" w:rsidP="0029180F">
            <w:pPr>
              <w:autoSpaceDE w:val="0"/>
              <w:autoSpaceDN w:val="0"/>
              <w:spacing w:line="252" w:lineRule="auto"/>
              <w:rPr>
                <w:rFonts w:cstheme="minorHAnsi"/>
                <w:lang w:eastAsia="es-ES"/>
              </w:rPr>
            </w:pPr>
            <w:r w:rsidRPr="00B46A27">
              <w:rPr>
                <w:rFonts w:cstheme="minorHAnsi"/>
                <w:lang w:eastAsia="es-ES"/>
              </w:rPr>
              <w:t>En consonancia con lo expuesto, se han venido ejecutando acciones tales como:</w:t>
            </w:r>
          </w:p>
          <w:p w14:paraId="1927E0C2" w14:textId="77777777" w:rsidR="0029180F" w:rsidRPr="007D56C0" w:rsidRDefault="0029180F" w:rsidP="00631DF4">
            <w:pPr>
              <w:pStyle w:val="Prrafodelista"/>
              <w:numPr>
                <w:ilvl w:val="0"/>
                <w:numId w:val="9"/>
              </w:numPr>
              <w:autoSpaceDE w:val="0"/>
              <w:autoSpaceDN w:val="0"/>
              <w:spacing w:line="252" w:lineRule="auto"/>
              <w:rPr>
                <w:rFonts w:cstheme="minorHAnsi"/>
                <w:lang w:eastAsia="es-ES"/>
              </w:rPr>
            </w:pPr>
            <w:r w:rsidRPr="007D56C0">
              <w:rPr>
                <w:rFonts w:cstheme="minorHAnsi"/>
              </w:rPr>
              <w:t>Optimización en el funcionamiento de las plantas de tratamiento de agua potable – PTAP, sistemas sépticos para el tratamiento de aguas residuales, plantas de tratamiento de agua residual – PTAR y pozos sépticos, por medio de mantenimientos preventivos y correctivos que garantizan su funcionamiento.</w:t>
            </w:r>
          </w:p>
          <w:p w14:paraId="29E62534" w14:textId="77777777" w:rsidR="0029180F" w:rsidRPr="007D56C0" w:rsidRDefault="0029180F" w:rsidP="00631DF4">
            <w:pPr>
              <w:pStyle w:val="Prrafodelista"/>
              <w:numPr>
                <w:ilvl w:val="0"/>
                <w:numId w:val="9"/>
              </w:numPr>
              <w:autoSpaceDE w:val="0"/>
              <w:autoSpaceDN w:val="0"/>
              <w:spacing w:line="252" w:lineRule="auto"/>
              <w:rPr>
                <w:rFonts w:cstheme="minorHAnsi"/>
                <w:lang w:eastAsia="es-CO"/>
              </w:rPr>
            </w:pPr>
            <w:r w:rsidRPr="007D56C0">
              <w:rPr>
                <w:rFonts w:cstheme="minorHAnsi"/>
              </w:rPr>
              <w:t xml:space="preserve">Mantenimiento de redes hidráulicas e hidrosanitarias, así como la </w:t>
            </w:r>
            <w:r w:rsidRPr="007D56C0">
              <w:rPr>
                <w:rFonts w:cstheme="minorHAnsi"/>
                <w:lang w:val="es-MX"/>
              </w:rPr>
              <w:t>construcción y mantenimiento de canales para manejo de aguas lluvias.</w:t>
            </w:r>
          </w:p>
          <w:p w14:paraId="7D2E149A" w14:textId="77777777" w:rsidR="0029180F" w:rsidRPr="007D56C0" w:rsidRDefault="0029180F" w:rsidP="00631DF4">
            <w:pPr>
              <w:pStyle w:val="Encabezado"/>
              <w:numPr>
                <w:ilvl w:val="0"/>
                <w:numId w:val="9"/>
              </w:numPr>
              <w:tabs>
                <w:tab w:val="center" w:pos="5529"/>
              </w:tabs>
              <w:autoSpaceDE w:val="0"/>
              <w:autoSpaceDN w:val="0"/>
              <w:spacing w:line="252" w:lineRule="auto"/>
              <w:rPr>
                <w:rFonts w:cstheme="minorHAnsi"/>
                <w:i/>
              </w:rPr>
            </w:pPr>
            <w:r w:rsidRPr="007D56C0">
              <w:rPr>
                <w:rFonts w:cstheme="minorHAnsi"/>
              </w:rPr>
              <w:t>Control operacional estandarizado del contrato a nivel nacional, en el mantenimiento preventivo de sistemas de tratamiento de agua residual en todos los antiguos ETCR, estableciendo un cronograma de seguimiento, cumplimiento y costos. Así mismo, el control de informes de las actividades realizadas y certificados de disposición final de lodos, resultado de los mantenimientos efectuados.</w:t>
            </w:r>
          </w:p>
          <w:p w14:paraId="6BD95A8B" w14:textId="77777777" w:rsidR="0029180F" w:rsidRPr="007D56C0" w:rsidRDefault="0029180F" w:rsidP="00631DF4">
            <w:pPr>
              <w:pStyle w:val="Prrafodelista"/>
              <w:numPr>
                <w:ilvl w:val="0"/>
                <w:numId w:val="9"/>
              </w:numPr>
              <w:autoSpaceDE w:val="0"/>
              <w:autoSpaceDN w:val="0"/>
              <w:spacing w:line="252" w:lineRule="auto"/>
              <w:rPr>
                <w:rFonts w:cstheme="minorHAnsi"/>
                <w:lang w:eastAsia="es-ES"/>
              </w:rPr>
            </w:pPr>
            <w:r w:rsidRPr="007D56C0">
              <w:rPr>
                <w:rFonts w:cstheme="minorHAnsi"/>
              </w:rPr>
              <w:t>Construcción de cribas para evitar daños en los sistemas de tratamiento de agua residual y redes hidrosanitarias.</w:t>
            </w:r>
          </w:p>
          <w:p w14:paraId="0C73776B" w14:textId="77777777" w:rsidR="0029180F" w:rsidRPr="007D56C0" w:rsidRDefault="0029180F" w:rsidP="00631DF4">
            <w:pPr>
              <w:pStyle w:val="Prrafodelista"/>
              <w:numPr>
                <w:ilvl w:val="0"/>
                <w:numId w:val="9"/>
              </w:numPr>
              <w:autoSpaceDE w:val="0"/>
              <w:autoSpaceDN w:val="0"/>
              <w:rPr>
                <w:rFonts w:cstheme="minorHAnsi"/>
                <w:lang w:eastAsia="es-ES"/>
              </w:rPr>
            </w:pPr>
            <w:r w:rsidRPr="007D56C0">
              <w:rPr>
                <w:rFonts w:cstheme="minorHAnsi"/>
              </w:rPr>
              <w:t>Mejoramiento del sistema de recolección, almacenamiento temporal, tratamiento y disposición final de residuos sólidos y certificados en lugares autorizados por la autoridad ambiental.</w:t>
            </w:r>
          </w:p>
          <w:p w14:paraId="44B8ED28" w14:textId="77777777" w:rsidR="0029180F" w:rsidRPr="007D56C0" w:rsidRDefault="0029180F" w:rsidP="00631DF4">
            <w:pPr>
              <w:pStyle w:val="Prrafodelista"/>
              <w:numPr>
                <w:ilvl w:val="0"/>
                <w:numId w:val="9"/>
              </w:numPr>
              <w:autoSpaceDE w:val="0"/>
              <w:autoSpaceDN w:val="0"/>
              <w:rPr>
                <w:rFonts w:cstheme="minorHAnsi"/>
              </w:rPr>
            </w:pPr>
            <w:r w:rsidRPr="007D56C0">
              <w:rPr>
                <w:rFonts w:cstheme="minorHAnsi"/>
              </w:rPr>
              <w:t>Articulación interinstitucional con distintas entidades, orientadas a generar buenas prácticas ambientales relacionadas con la clasificación de residuos sólidos.</w:t>
            </w:r>
          </w:p>
          <w:p w14:paraId="056EF499" w14:textId="77777777" w:rsidR="0029180F" w:rsidRPr="007D56C0" w:rsidRDefault="0029180F" w:rsidP="00631DF4">
            <w:pPr>
              <w:pStyle w:val="Prrafodelista"/>
              <w:numPr>
                <w:ilvl w:val="0"/>
                <w:numId w:val="9"/>
              </w:numPr>
              <w:autoSpaceDE w:val="0"/>
              <w:autoSpaceDN w:val="0"/>
              <w:rPr>
                <w:rFonts w:cstheme="minorHAnsi"/>
              </w:rPr>
            </w:pPr>
            <w:r w:rsidRPr="007D56C0">
              <w:rPr>
                <w:rFonts w:cstheme="minorHAnsi"/>
              </w:rPr>
              <w:t xml:space="preserve">Jornadas de reciclaje coordinadas desde nivel central y lideradas por los administradores locales de los </w:t>
            </w:r>
            <w:r>
              <w:rPr>
                <w:rFonts w:cstheme="minorHAnsi"/>
              </w:rPr>
              <w:t>antiguo</w:t>
            </w:r>
            <w:r w:rsidRPr="007D56C0">
              <w:rPr>
                <w:rFonts w:cstheme="minorHAnsi"/>
              </w:rPr>
              <w:t xml:space="preserve"> ETCR, con la participación de otras entidades que interactúan en estos espacios.</w:t>
            </w:r>
          </w:p>
          <w:p w14:paraId="0CAA35A0" w14:textId="77777777" w:rsidR="0029180F" w:rsidRPr="007D56C0" w:rsidRDefault="0029180F" w:rsidP="00631DF4">
            <w:pPr>
              <w:pStyle w:val="Prrafodelista"/>
              <w:numPr>
                <w:ilvl w:val="0"/>
                <w:numId w:val="9"/>
              </w:numPr>
              <w:autoSpaceDE w:val="0"/>
              <w:autoSpaceDN w:val="0"/>
              <w:rPr>
                <w:rFonts w:cstheme="minorHAnsi"/>
              </w:rPr>
            </w:pPr>
            <w:r w:rsidRPr="007D56C0">
              <w:rPr>
                <w:rFonts w:cstheme="minorHAnsi"/>
              </w:rPr>
              <w:t xml:space="preserve">Divulgación, seguimiento y cumplimiento a lo establecido en el plan de residuos sólidos de los </w:t>
            </w:r>
            <w:r>
              <w:rPr>
                <w:rFonts w:cstheme="minorHAnsi"/>
              </w:rPr>
              <w:t>antiguos</w:t>
            </w:r>
            <w:r w:rsidRPr="007D56C0">
              <w:rPr>
                <w:rFonts w:cstheme="minorHAnsi"/>
              </w:rPr>
              <w:t xml:space="preserve"> ETCR. </w:t>
            </w:r>
          </w:p>
          <w:p w14:paraId="78D7FCC2" w14:textId="77777777" w:rsidR="0029180F" w:rsidRPr="007D56C0" w:rsidRDefault="0029180F" w:rsidP="00631DF4">
            <w:pPr>
              <w:pStyle w:val="Prrafodelista"/>
              <w:numPr>
                <w:ilvl w:val="0"/>
                <w:numId w:val="9"/>
              </w:numPr>
              <w:autoSpaceDE w:val="0"/>
              <w:autoSpaceDN w:val="0"/>
              <w:spacing w:line="252" w:lineRule="auto"/>
              <w:rPr>
                <w:rFonts w:cstheme="minorHAnsi"/>
                <w:lang w:eastAsia="es-ES"/>
              </w:rPr>
            </w:pPr>
            <w:r w:rsidRPr="007D56C0">
              <w:rPr>
                <w:rFonts w:cstheme="minorHAnsi"/>
              </w:rPr>
              <w:t>Participación en la semana ambiental establecida por la ARN, a través de jornadas y campañas ambientales, actividades lúdicas con participación de la comunidad y campañas de educación ambiental que comprendieron la siembra de árboles, participación virtual en juegos referentes al medio ambiente y concursos de reciclaje.</w:t>
            </w:r>
          </w:p>
          <w:p w14:paraId="1108A32E" w14:textId="77777777" w:rsidR="0029180F" w:rsidRPr="00B46A27" w:rsidRDefault="0029180F" w:rsidP="00631DF4">
            <w:pPr>
              <w:pStyle w:val="Encabezado"/>
              <w:numPr>
                <w:ilvl w:val="0"/>
                <w:numId w:val="9"/>
              </w:numPr>
              <w:tabs>
                <w:tab w:val="center" w:pos="5529"/>
              </w:tabs>
              <w:autoSpaceDE w:val="0"/>
              <w:autoSpaceDN w:val="0"/>
              <w:spacing w:line="252" w:lineRule="auto"/>
              <w:rPr>
                <w:rFonts w:cstheme="minorHAnsi"/>
              </w:rPr>
            </w:pPr>
            <w:r w:rsidRPr="00B46A27">
              <w:rPr>
                <w:rFonts w:cstheme="minorHAnsi"/>
              </w:rPr>
              <w:t>Contratación a través del PNUD</w:t>
            </w:r>
            <w:r>
              <w:rPr>
                <w:rStyle w:val="Refdenotaalpie"/>
                <w:rFonts w:cstheme="minorHAnsi"/>
              </w:rPr>
              <w:footnoteReference w:id="3"/>
            </w:r>
            <w:r w:rsidRPr="00B46A27">
              <w:rPr>
                <w:rFonts w:cstheme="minorHAnsi"/>
              </w:rPr>
              <w:t xml:space="preserve">, de un proceso de mantenimiento integral de las Plantas de Tratamiento de Agua Potable en los antiguos ETCR, que incluye el mantenimiento preventivo, correctivo, modificaciones de diseño, suministro de repuestos previamente </w:t>
            </w:r>
            <w:r w:rsidRPr="00B46A27">
              <w:rPr>
                <w:rFonts w:cstheme="minorHAnsi"/>
              </w:rPr>
              <w:lastRenderedPageBreak/>
              <w:t xml:space="preserve">autorizados y destinados a las plantas de tratamiento de agua potable – PTAP, operación y capacitación que garantice la potabilización del agua, de acuerdo a la normatividad legal vigente. </w:t>
            </w:r>
          </w:p>
          <w:p w14:paraId="1368C334" w14:textId="77777777" w:rsidR="0029180F" w:rsidRDefault="0029180F" w:rsidP="0029180F">
            <w:pPr>
              <w:spacing w:line="252" w:lineRule="auto"/>
              <w:rPr>
                <w:rFonts w:cstheme="minorHAnsi"/>
                <w:b/>
                <w:bCs/>
                <w:lang w:val="es-MX"/>
              </w:rPr>
            </w:pPr>
          </w:p>
          <w:p w14:paraId="35154ACD" w14:textId="77777777" w:rsidR="0029180F" w:rsidRPr="00B46A27" w:rsidRDefault="0029180F" w:rsidP="0029180F">
            <w:pPr>
              <w:spacing w:line="252" w:lineRule="auto"/>
              <w:rPr>
                <w:rFonts w:cstheme="minorHAnsi"/>
                <w:b/>
                <w:bCs/>
                <w:lang w:val="es-MX"/>
              </w:rPr>
            </w:pPr>
            <w:r w:rsidRPr="00B46A27">
              <w:rPr>
                <w:rFonts w:cstheme="minorHAnsi"/>
                <w:b/>
                <w:bCs/>
                <w:lang w:val="es-MX"/>
              </w:rPr>
              <w:t>Suministro de energía</w:t>
            </w:r>
          </w:p>
          <w:p w14:paraId="0CE37B0F" w14:textId="102AFE67" w:rsidR="0029180F" w:rsidRDefault="0029180F" w:rsidP="0029180F">
            <w:pPr>
              <w:rPr>
                <w:rFonts w:cstheme="minorHAnsi"/>
              </w:rPr>
            </w:pPr>
            <w:r w:rsidRPr="00B46A27">
              <w:rPr>
                <w:rFonts w:cstheme="minorHAnsi"/>
                <w:lang w:val="es-MX"/>
              </w:rPr>
              <w:t>La gestión administrativa en este sentido pretende garantizar el adecuado</w:t>
            </w:r>
            <w:r w:rsidRPr="00B46A27">
              <w:rPr>
                <w:rFonts w:cstheme="minorHAnsi"/>
              </w:rPr>
              <w:t xml:space="preserve"> funcionamiento de los equipos mecánicos y las infraestructuras eléctricas de los 24 antiguos ETCR, interviniendo con mantenimientos preventivos y correctivos donde haya lugar.  </w:t>
            </w:r>
          </w:p>
          <w:p w14:paraId="5C6E757B" w14:textId="77777777" w:rsidR="0048016F" w:rsidRPr="00B46A27" w:rsidRDefault="0048016F" w:rsidP="0029180F">
            <w:pPr>
              <w:rPr>
                <w:rFonts w:cstheme="minorHAnsi"/>
              </w:rPr>
            </w:pPr>
          </w:p>
          <w:p w14:paraId="0DF4A719" w14:textId="77777777" w:rsidR="0029180F" w:rsidRPr="00B46A27" w:rsidRDefault="0029180F" w:rsidP="0029180F">
            <w:pPr>
              <w:rPr>
                <w:rFonts w:cstheme="minorHAnsi"/>
                <w:lang w:val="es-MX"/>
              </w:rPr>
            </w:pPr>
            <w:r w:rsidRPr="00B46A27">
              <w:rPr>
                <w:rFonts w:cstheme="minorHAnsi"/>
                <w:lang w:val="es-MX"/>
              </w:rPr>
              <w:t xml:space="preserve">Respecto a este servicio básico, se presentan en los </w:t>
            </w:r>
            <w:r>
              <w:rPr>
                <w:rFonts w:cstheme="minorHAnsi"/>
                <w:lang w:val="es-MX"/>
              </w:rPr>
              <w:t>antiguos</w:t>
            </w:r>
            <w:r w:rsidRPr="00B46A27">
              <w:rPr>
                <w:rFonts w:cstheme="minorHAnsi"/>
                <w:lang w:val="es-MX"/>
              </w:rPr>
              <w:t xml:space="preserve"> ETCR las siguientes situaciones:</w:t>
            </w:r>
          </w:p>
          <w:p w14:paraId="7DBB29D8" w14:textId="77777777" w:rsidR="0029180F" w:rsidRPr="007D56C0" w:rsidRDefault="0029180F" w:rsidP="00631DF4">
            <w:pPr>
              <w:pStyle w:val="Prrafodelista"/>
              <w:numPr>
                <w:ilvl w:val="0"/>
                <w:numId w:val="4"/>
              </w:numPr>
              <w:contextualSpacing w:val="0"/>
              <w:rPr>
                <w:rFonts w:eastAsia="Times New Roman" w:cstheme="minorHAnsi"/>
              </w:rPr>
            </w:pPr>
            <w:r w:rsidRPr="007D56C0">
              <w:rPr>
                <w:rFonts w:cstheme="minorHAnsi"/>
              </w:rPr>
              <w:t xml:space="preserve">Diecinueve (19) </w:t>
            </w:r>
            <w:r>
              <w:rPr>
                <w:rFonts w:cstheme="minorHAnsi"/>
              </w:rPr>
              <w:t>antiguos</w:t>
            </w:r>
            <w:r w:rsidRPr="007D56C0">
              <w:rPr>
                <w:rFonts w:cstheme="minorHAnsi"/>
              </w:rPr>
              <w:t xml:space="preserve"> ETCR cuentan con este servicio a través de interconexión eléctrica con las empresas de servicios públicos, para lo cual esta entidad gestiona los recursos para garantizar el pago de las facturas correspondientes.</w:t>
            </w:r>
          </w:p>
          <w:p w14:paraId="1041336A" w14:textId="77777777" w:rsidR="0029180F" w:rsidRPr="007D56C0" w:rsidRDefault="0029180F" w:rsidP="00631DF4">
            <w:pPr>
              <w:pStyle w:val="Prrafodelista"/>
              <w:numPr>
                <w:ilvl w:val="0"/>
                <w:numId w:val="4"/>
              </w:numPr>
              <w:contextualSpacing w:val="0"/>
              <w:rPr>
                <w:rFonts w:cstheme="minorHAnsi"/>
              </w:rPr>
            </w:pPr>
            <w:r w:rsidRPr="007D56C0">
              <w:rPr>
                <w:rFonts w:cstheme="minorHAnsi"/>
              </w:rPr>
              <w:t xml:space="preserve">Tres (3) </w:t>
            </w:r>
            <w:r>
              <w:rPr>
                <w:rFonts w:cstheme="minorHAnsi"/>
              </w:rPr>
              <w:t>antiguos</w:t>
            </w:r>
            <w:r w:rsidRPr="007D56C0">
              <w:rPr>
                <w:rFonts w:cstheme="minorHAnsi"/>
              </w:rPr>
              <w:t xml:space="preserve"> ETCR se abastecen a través de plantas eléctricas, motivo por el cual se viene realizando la adquisición del combustible, así como el mantenimiento preventivo y correctivo necesario para la operación permanente de los electrogeneradores.</w:t>
            </w:r>
          </w:p>
          <w:p w14:paraId="305E2B5F" w14:textId="77777777" w:rsidR="0029180F" w:rsidRPr="007D56C0" w:rsidRDefault="0029180F" w:rsidP="00631DF4">
            <w:pPr>
              <w:pStyle w:val="Prrafodelista"/>
              <w:numPr>
                <w:ilvl w:val="0"/>
                <w:numId w:val="4"/>
              </w:numPr>
              <w:contextualSpacing w:val="0"/>
              <w:rPr>
                <w:rFonts w:cstheme="minorHAnsi"/>
              </w:rPr>
            </w:pPr>
            <w:r w:rsidRPr="007D56C0">
              <w:rPr>
                <w:rFonts w:cstheme="minorHAnsi"/>
              </w:rPr>
              <w:t xml:space="preserve">Dos (2) </w:t>
            </w:r>
            <w:r>
              <w:rPr>
                <w:rFonts w:cstheme="minorHAnsi"/>
              </w:rPr>
              <w:t xml:space="preserve">antiguos </w:t>
            </w:r>
            <w:r w:rsidRPr="007D56C0">
              <w:rPr>
                <w:rFonts w:cstheme="minorHAnsi"/>
              </w:rPr>
              <w:t xml:space="preserve">ETCR se encuentran en proceso de interconexión y legalización ante los operadores de red de cada región. </w:t>
            </w:r>
          </w:p>
          <w:p w14:paraId="27B2A864" w14:textId="77777777" w:rsidR="0029180F" w:rsidRPr="00B46A27" w:rsidRDefault="0029180F" w:rsidP="0029180F">
            <w:pPr>
              <w:pStyle w:val="Prrafodelista"/>
              <w:contextualSpacing w:val="0"/>
              <w:rPr>
                <w:rFonts w:cstheme="minorHAnsi"/>
              </w:rPr>
            </w:pPr>
          </w:p>
          <w:p w14:paraId="0BF2C5BE" w14:textId="77777777" w:rsidR="0029180F" w:rsidRPr="00B46A27" w:rsidRDefault="0029180F" w:rsidP="0029180F">
            <w:pPr>
              <w:rPr>
                <w:rFonts w:cstheme="minorHAnsi"/>
                <w:lang w:val="es-MX"/>
              </w:rPr>
            </w:pPr>
            <w:r w:rsidRPr="00B46A27">
              <w:rPr>
                <w:rFonts w:cstheme="minorHAnsi"/>
                <w:lang w:val="es-MX"/>
              </w:rPr>
              <w:t>Las acciones para el mejoramiento de la oferta institucional de este servicio han consistido en:</w:t>
            </w:r>
          </w:p>
          <w:p w14:paraId="7B98D373" w14:textId="77777777" w:rsidR="0029180F" w:rsidRPr="00B46A27" w:rsidRDefault="0029180F" w:rsidP="00631DF4">
            <w:pPr>
              <w:pStyle w:val="Prrafodelista"/>
              <w:numPr>
                <w:ilvl w:val="0"/>
                <w:numId w:val="10"/>
              </w:numPr>
              <w:spacing w:line="252" w:lineRule="auto"/>
              <w:rPr>
                <w:rFonts w:cstheme="minorHAnsi"/>
                <w:lang w:val="es-MX"/>
              </w:rPr>
            </w:pPr>
            <w:r w:rsidRPr="00B46A27">
              <w:rPr>
                <w:rFonts w:cstheme="minorHAnsi"/>
                <w:lang w:val="es-MX"/>
              </w:rPr>
              <w:t>Contratación de mano de obra especializada para el mantenimiento preventivo y correctivo de las plantas de energía eléctrica.</w:t>
            </w:r>
          </w:p>
          <w:p w14:paraId="30F4E348" w14:textId="77777777" w:rsidR="0029180F" w:rsidRPr="00B46A27" w:rsidRDefault="0029180F" w:rsidP="00631DF4">
            <w:pPr>
              <w:pStyle w:val="Prrafodelista"/>
              <w:numPr>
                <w:ilvl w:val="0"/>
                <w:numId w:val="10"/>
              </w:numPr>
              <w:spacing w:line="252" w:lineRule="auto"/>
              <w:rPr>
                <w:rFonts w:cstheme="minorHAnsi"/>
                <w:lang w:val="es-MX"/>
              </w:rPr>
            </w:pPr>
            <w:r w:rsidRPr="00B46A27">
              <w:rPr>
                <w:rFonts w:cstheme="minorHAnsi"/>
                <w:lang w:val="es-MX"/>
              </w:rPr>
              <w:t>Supervisión y control de contratos de mantenimientos de plantas eléctricas.</w:t>
            </w:r>
          </w:p>
          <w:p w14:paraId="3DC0086A" w14:textId="77777777" w:rsidR="0029180F" w:rsidRPr="00B46A27" w:rsidRDefault="0029180F" w:rsidP="00631DF4">
            <w:pPr>
              <w:pStyle w:val="Prrafodelista"/>
              <w:numPr>
                <w:ilvl w:val="0"/>
                <w:numId w:val="10"/>
              </w:numPr>
              <w:spacing w:line="252" w:lineRule="auto"/>
              <w:rPr>
                <w:rFonts w:cstheme="minorHAnsi"/>
                <w:lang w:val="es-MX"/>
              </w:rPr>
            </w:pPr>
            <w:r w:rsidRPr="00B46A27">
              <w:rPr>
                <w:rFonts w:cstheme="minorHAnsi"/>
                <w:lang w:val="es-MX"/>
              </w:rPr>
              <w:t xml:space="preserve">Control de suministro de ACPM en los espacios territoriales que cuentan con planta eléctrica. </w:t>
            </w:r>
          </w:p>
          <w:p w14:paraId="0B0F9A63" w14:textId="77777777" w:rsidR="0029180F" w:rsidRPr="00B46A27" w:rsidRDefault="0029180F" w:rsidP="00631DF4">
            <w:pPr>
              <w:pStyle w:val="Prrafodelista"/>
              <w:numPr>
                <w:ilvl w:val="0"/>
                <w:numId w:val="10"/>
              </w:numPr>
              <w:rPr>
                <w:rFonts w:cstheme="minorHAnsi"/>
              </w:rPr>
            </w:pPr>
            <w:r w:rsidRPr="00B46A27">
              <w:rPr>
                <w:rFonts w:cstheme="minorHAnsi"/>
                <w:lang w:val="es-MX"/>
              </w:rPr>
              <w:t xml:space="preserve">Mantenimiento a la red de </w:t>
            </w:r>
            <w:r w:rsidRPr="00B46A27">
              <w:rPr>
                <w:rFonts w:cstheme="minorHAnsi"/>
              </w:rPr>
              <w:t xml:space="preserve">alumbrado público en los </w:t>
            </w:r>
            <w:r>
              <w:rPr>
                <w:rFonts w:cstheme="minorHAnsi"/>
              </w:rPr>
              <w:t>antiguos</w:t>
            </w:r>
            <w:r w:rsidRPr="00B46A27">
              <w:rPr>
                <w:rFonts w:cstheme="minorHAnsi"/>
              </w:rPr>
              <w:t xml:space="preserve"> ETCR.</w:t>
            </w:r>
          </w:p>
          <w:p w14:paraId="70A26D34" w14:textId="77777777" w:rsidR="0029180F" w:rsidRPr="00B46A27" w:rsidRDefault="0029180F" w:rsidP="00631DF4">
            <w:pPr>
              <w:pStyle w:val="Prrafodelista"/>
              <w:numPr>
                <w:ilvl w:val="0"/>
                <w:numId w:val="10"/>
              </w:numPr>
              <w:rPr>
                <w:rFonts w:cstheme="minorHAnsi"/>
              </w:rPr>
            </w:pPr>
            <w:r w:rsidRPr="00B46A27">
              <w:rPr>
                <w:rFonts w:cstheme="minorHAnsi"/>
              </w:rPr>
              <w:t>Mantenimientos de redes eléctricas en baja tensión y media tensión.</w:t>
            </w:r>
          </w:p>
          <w:p w14:paraId="2244484C" w14:textId="77777777" w:rsidR="0029180F" w:rsidRPr="00B46A27" w:rsidRDefault="0029180F" w:rsidP="00631DF4">
            <w:pPr>
              <w:pStyle w:val="Prrafodelista"/>
              <w:numPr>
                <w:ilvl w:val="0"/>
                <w:numId w:val="10"/>
              </w:numPr>
              <w:rPr>
                <w:rFonts w:cstheme="minorHAnsi"/>
              </w:rPr>
            </w:pPr>
            <w:r w:rsidRPr="00B46A27">
              <w:rPr>
                <w:rFonts w:cstheme="minorHAnsi"/>
              </w:rPr>
              <w:t>Mantenimientos de equipos rotativos menores (motobombas y electrobombas).</w:t>
            </w:r>
          </w:p>
          <w:p w14:paraId="30964E5F" w14:textId="77777777" w:rsidR="0029180F" w:rsidRPr="00B46A27" w:rsidRDefault="0029180F" w:rsidP="0029180F">
            <w:pPr>
              <w:spacing w:line="252" w:lineRule="auto"/>
              <w:rPr>
                <w:rFonts w:cstheme="minorHAnsi"/>
                <w:b/>
                <w:bCs/>
              </w:rPr>
            </w:pPr>
          </w:p>
          <w:p w14:paraId="11496649" w14:textId="77777777" w:rsidR="0029180F" w:rsidRPr="00B46A27" w:rsidRDefault="0029180F" w:rsidP="0029180F">
            <w:pPr>
              <w:spacing w:line="252" w:lineRule="auto"/>
              <w:rPr>
                <w:rFonts w:cstheme="minorHAnsi"/>
                <w:b/>
                <w:bCs/>
                <w:lang w:val="es-MX"/>
              </w:rPr>
            </w:pPr>
            <w:r w:rsidRPr="00B46A27">
              <w:rPr>
                <w:rFonts w:cstheme="minorHAnsi"/>
                <w:b/>
                <w:bCs/>
                <w:lang w:val="es-MX"/>
              </w:rPr>
              <w:t>Suministro de gas</w:t>
            </w:r>
          </w:p>
          <w:p w14:paraId="47E5B4D8" w14:textId="77777777" w:rsidR="0029180F" w:rsidRPr="00B46A27" w:rsidRDefault="0029180F" w:rsidP="0029180F">
            <w:pPr>
              <w:autoSpaceDE w:val="0"/>
              <w:autoSpaceDN w:val="0"/>
              <w:rPr>
                <w:rFonts w:cstheme="minorHAnsi"/>
                <w:lang w:val="es-MX"/>
              </w:rPr>
            </w:pPr>
            <w:r w:rsidRPr="00B46A27">
              <w:rPr>
                <w:rFonts w:cstheme="minorHAnsi"/>
                <w:lang w:val="es-MX"/>
              </w:rPr>
              <w:t xml:space="preserve">Desde el momento que la entidad asumió la administración de los </w:t>
            </w:r>
            <w:r>
              <w:rPr>
                <w:rFonts w:cstheme="minorHAnsi"/>
                <w:lang w:val="es-MX"/>
              </w:rPr>
              <w:t>antiguos</w:t>
            </w:r>
            <w:r w:rsidRPr="00B46A27">
              <w:rPr>
                <w:rFonts w:cstheme="minorHAnsi"/>
                <w:lang w:val="es-MX"/>
              </w:rPr>
              <w:t xml:space="preserve"> ETCR, se ha venido garantizando el suministro mensual de gas a través de cilindros, que son entregados a la comunidad habitante de los espacios, con el objetivo de satisfacer sus necesidades en esta materia.</w:t>
            </w:r>
          </w:p>
          <w:p w14:paraId="52579065" w14:textId="77777777" w:rsidR="0029180F" w:rsidRDefault="0029180F" w:rsidP="0029180F">
            <w:pPr>
              <w:rPr>
                <w:rFonts w:cstheme="minorHAnsi"/>
                <w:b/>
                <w:lang w:val="es-MX"/>
              </w:rPr>
            </w:pPr>
          </w:p>
          <w:p w14:paraId="044B48F0" w14:textId="77777777" w:rsidR="0029180F" w:rsidRPr="00B46A27" w:rsidRDefault="0029180F" w:rsidP="0029180F">
            <w:pPr>
              <w:rPr>
                <w:rFonts w:cstheme="minorHAnsi"/>
                <w:b/>
                <w:lang w:val="es-MX"/>
              </w:rPr>
            </w:pPr>
            <w:r w:rsidRPr="00B46A27">
              <w:rPr>
                <w:rFonts w:cstheme="minorHAnsi"/>
                <w:b/>
                <w:lang w:val="es-MX"/>
              </w:rPr>
              <w:t>Conectividad</w:t>
            </w:r>
          </w:p>
          <w:p w14:paraId="5739D549" w14:textId="77777777" w:rsidR="0029180F" w:rsidRPr="00B46A27" w:rsidRDefault="0029180F" w:rsidP="0029180F">
            <w:pPr>
              <w:spacing w:line="252" w:lineRule="auto"/>
              <w:rPr>
                <w:rFonts w:eastAsia="Arial Narrow" w:cstheme="minorHAnsi"/>
              </w:rPr>
            </w:pPr>
            <w:r w:rsidRPr="00B46A27">
              <w:rPr>
                <w:rFonts w:eastAsia="Arial Narrow" w:cstheme="minorHAnsi"/>
              </w:rPr>
              <w:t xml:space="preserve">La ARN ha identificado que para efectos de avanzar en la ruta de reincorporación, es indispensable proveer en los antiguos ETCR una solución de conectividad que permita garantizar el derecho a la comunicación, a la </w:t>
            </w:r>
            <w:r w:rsidRPr="00B46A27">
              <w:rPr>
                <w:rFonts w:eastAsia="Arial Narrow" w:cstheme="minorHAnsi"/>
              </w:rPr>
              <w:lastRenderedPageBreak/>
              <w:t>información y a la educación; así como el acceso a los servicios básicos de las TIC a los excombatientes de las FARC-EP que se encuentran ubicados en estos lugares; de tal manera que se les permita el ejercicio pleno de los siguientes derechos: La libertad de expresión y de difundir su pensamiento y opiniones, el libre desarrollo de la personalidad, el de informar y recibir información veraz e imparcial, la educación y el acceso al conocimiento, a la ciencia, a la técnica, y a los demás bienes y valores de la cultura.</w:t>
            </w:r>
          </w:p>
          <w:p w14:paraId="60B830E7" w14:textId="149DD524" w:rsidR="0029180F" w:rsidRDefault="0029180F" w:rsidP="0029180F">
            <w:pPr>
              <w:spacing w:line="252" w:lineRule="auto"/>
              <w:rPr>
                <w:rFonts w:eastAsia="Arial Narrow" w:cstheme="minorHAnsi"/>
              </w:rPr>
            </w:pPr>
            <w:r w:rsidRPr="00B46A27">
              <w:rPr>
                <w:rFonts w:eastAsia="Arial Narrow" w:cstheme="minorHAnsi"/>
              </w:rPr>
              <w:t xml:space="preserve">Por tal motivo, durante el año 2021 y a través del proyecto PNUD, la ARN ha provisto en estos lugares, una solución básica de conectividad satelital, en aras de facilitar la comunicación y el desarrollo de actividades académicas en el marco del proceso de reincorporación, como también apoyar la ejecución de los procesos administrativos y misionales que son desarrollados por el personal de la ARN que hace presencia en cada uno de los antiguos ETCR. </w:t>
            </w:r>
          </w:p>
          <w:p w14:paraId="0606774F" w14:textId="77777777" w:rsidR="0048016F" w:rsidRPr="00B46A27" w:rsidRDefault="0048016F" w:rsidP="0029180F">
            <w:pPr>
              <w:spacing w:line="252" w:lineRule="auto"/>
              <w:rPr>
                <w:rFonts w:eastAsia="Arial Narrow" w:cstheme="minorHAnsi"/>
              </w:rPr>
            </w:pPr>
          </w:p>
          <w:p w14:paraId="1538F087" w14:textId="77777777" w:rsidR="0029180F" w:rsidRPr="00B46A27" w:rsidRDefault="0029180F" w:rsidP="00631DF4">
            <w:pPr>
              <w:pStyle w:val="Prrafodelista"/>
              <w:numPr>
                <w:ilvl w:val="0"/>
                <w:numId w:val="5"/>
              </w:numPr>
              <w:rPr>
                <w:rFonts w:cstheme="minorHAnsi"/>
                <w:b/>
              </w:rPr>
            </w:pPr>
            <w:r w:rsidRPr="00B46A27">
              <w:rPr>
                <w:rFonts w:cstheme="minorHAnsi"/>
                <w:b/>
              </w:rPr>
              <w:t>Asegurabilidad de bienes</w:t>
            </w:r>
          </w:p>
          <w:p w14:paraId="44702004" w14:textId="77777777" w:rsidR="0029180F" w:rsidRPr="00B46A27" w:rsidRDefault="0029180F" w:rsidP="0029180F">
            <w:pPr>
              <w:spacing w:after="150"/>
              <w:rPr>
                <w:rFonts w:eastAsia="Arial Narrow" w:cstheme="minorHAnsi"/>
              </w:rPr>
            </w:pPr>
            <w:r w:rsidRPr="00B46A27">
              <w:rPr>
                <w:rFonts w:eastAsia="Arial Narrow" w:cstheme="minorHAnsi"/>
              </w:rPr>
              <w:t>Desde que los antiguos ETCR fueron construidos, se dotaron con la infraestructura de bienes muebles e inmuebles necesarios para garantizar las actividades y el proceso de reincorporación. Las instalaciones de los a</w:t>
            </w:r>
            <w:r>
              <w:rPr>
                <w:rFonts w:eastAsia="Arial Narrow" w:cstheme="minorHAnsi"/>
              </w:rPr>
              <w:t xml:space="preserve">ntiguos </w:t>
            </w:r>
            <w:r w:rsidRPr="00B46A27">
              <w:rPr>
                <w:rFonts w:eastAsia="Arial Narrow" w:cstheme="minorHAnsi"/>
              </w:rPr>
              <w:t xml:space="preserve">ETCR corresponden de una parte a estructura de soporte metálico o de madera con muros de superboard, con cubierta en fibrocemento y termo acústica sobre una placa de concreto o madera y tanques de almacenamiento de agua, albergando allí las áreas habitacionales y comunes. Adicionalmente, cuentan con Plantas Eléctricas, Plantas de tratamiento de agua potable (PTAP), Sistemas de tratamiento de agua residual (pozo séptico o PTAR), estufas industriales, mesones, congeladores, pocetas de ollas, escritorios y sillas de escritorios, entre otros. </w:t>
            </w:r>
          </w:p>
          <w:p w14:paraId="1C892367" w14:textId="77777777" w:rsidR="0029180F" w:rsidRPr="00B46A27" w:rsidRDefault="0029180F" w:rsidP="0029180F">
            <w:pPr>
              <w:rPr>
                <w:rFonts w:eastAsia="Arial Narrow" w:cstheme="minorHAnsi"/>
              </w:rPr>
            </w:pPr>
            <w:r w:rsidRPr="00B46A27">
              <w:rPr>
                <w:rFonts w:eastAsia="Arial Narrow" w:cstheme="minorHAnsi"/>
              </w:rPr>
              <w:t>Por tal motivo,</w:t>
            </w:r>
            <w:r w:rsidRPr="00B46A27">
              <w:rPr>
                <w:rFonts w:cstheme="minorHAnsi"/>
                <w:bCs/>
                <w:lang w:val="es-MX"/>
              </w:rPr>
              <w:t xml:space="preserve"> en la vigencia 2021 fue suscrito el </w:t>
            </w:r>
            <w:r w:rsidRPr="00B46A27">
              <w:rPr>
                <w:rFonts w:eastAsia="Arial Narrow" w:cstheme="minorHAnsi"/>
              </w:rPr>
              <w:t xml:space="preserve">Modificatorio No 1. al </w:t>
            </w:r>
            <w:r w:rsidRPr="00B46A27">
              <w:rPr>
                <w:rFonts w:eastAsia="Arial Narrow" w:cstheme="minorHAnsi"/>
                <w:b/>
              </w:rPr>
              <w:t>Contrato Electrónico de Seguro No. 1039 de 2020</w:t>
            </w:r>
            <w:r w:rsidRPr="00B46A27">
              <w:rPr>
                <w:rFonts w:eastAsia="Arial Narrow" w:cstheme="minorHAnsi"/>
              </w:rPr>
              <w:t xml:space="preserve"> suscrito con LA PREVISORA S.A. COMPAÑÍA DE SEGUROS, cuyo objeto consistió en </w:t>
            </w:r>
            <w:r w:rsidRPr="00B46A27">
              <w:rPr>
                <w:rFonts w:eastAsia="Arial Narrow" w:cstheme="minorHAnsi"/>
                <w:i/>
              </w:rPr>
              <w:t xml:space="preserve">“AMPARAR TODOS LOS BIENES INMUEBLES Y MUEBLES QUE CONFORMAN LOS ANTIGUOS ESPACIOS TERRITORIALES PARA CAPACITACIÓN Y REINCORPORACIÓN - ETCR, UBICADOS EN EL TERRITORIO NACIONAL, CONTRA LOS DAÑOS O PERDIDAS MATERIALES A CONSECUENCIA DE CUALQUIER RIESGO, TANTO POR EVENTOS INTERNOS O EXTERNOS, INCLUYENDO LAS PÉRDIDAS CONSECUENCIALES POR TODO CONCEPTO, prorrogando </w:t>
            </w:r>
            <w:r w:rsidRPr="00B46A27">
              <w:rPr>
                <w:rFonts w:eastAsia="Arial Narrow" w:cstheme="minorHAnsi"/>
              </w:rPr>
              <w:t xml:space="preserve">hasta el </w:t>
            </w:r>
            <w:r w:rsidRPr="00B46A27">
              <w:rPr>
                <w:rFonts w:eastAsia="Arial Narrow" w:cstheme="minorHAnsi"/>
                <w:b/>
              </w:rPr>
              <w:t>7 de octubre de 2021</w:t>
            </w:r>
            <w:r w:rsidRPr="00B46A27">
              <w:rPr>
                <w:rFonts w:eastAsia="Arial Narrow" w:cstheme="minorHAnsi"/>
              </w:rPr>
              <w:t xml:space="preserve"> el plazo de ejecución, adicionando el valor del contrato en la suma de $376.134.562 incluido IVA; dejando el valor total del contrato en la suma de $1.128.854.482 incluido IVA, y demás gastos directos e indirectos, tasa y contribuciones que conlleve su celebración y ejecución total, a efectos de garantizar el amparo de los bienes donde se adelanta el proceso de reincorporación ante riesgos por perdida, daños, fuerza mayor o caso fortuito no atribuibles a la ARN. </w:t>
            </w:r>
          </w:p>
          <w:p w14:paraId="541FFA1D" w14:textId="77777777" w:rsidR="0029180F" w:rsidRPr="00B46A27" w:rsidRDefault="0029180F" w:rsidP="0029180F">
            <w:pPr>
              <w:spacing w:after="150"/>
              <w:rPr>
                <w:rFonts w:cstheme="minorHAnsi"/>
                <w:bCs/>
                <w:lang w:val="es-MX"/>
              </w:rPr>
            </w:pPr>
          </w:p>
          <w:p w14:paraId="69CB0040" w14:textId="77777777" w:rsidR="0029180F" w:rsidRPr="00B46A27" w:rsidRDefault="0029180F" w:rsidP="0029180F">
            <w:pPr>
              <w:spacing w:after="150"/>
              <w:rPr>
                <w:rFonts w:cstheme="minorHAnsi"/>
                <w:bCs/>
                <w:lang w:val="es-MX"/>
              </w:rPr>
            </w:pPr>
            <w:r w:rsidRPr="00B46A27">
              <w:rPr>
                <w:rFonts w:cstheme="minorHAnsi"/>
                <w:bCs/>
                <w:lang w:val="es-MX"/>
              </w:rPr>
              <w:t xml:space="preserve">Posteriormente fue suscrito el contrato de seguro 1587 de 2021, celebrado con la Previsora S.A., para cubrir todos los riesgos de daños materiales de los </w:t>
            </w:r>
            <w:r w:rsidRPr="00B46A27">
              <w:rPr>
                <w:rFonts w:cstheme="minorHAnsi"/>
                <w:bCs/>
                <w:lang w:val="es-MX"/>
              </w:rPr>
              <w:lastRenderedPageBreak/>
              <w:t>bienes durante el periodo comprendido entre el 7 de octubre de 2021 al 27 de mayo de 2023.</w:t>
            </w:r>
          </w:p>
          <w:p w14:paraId="080BD99C" w14:textId="77777777" w:rsidR="0029180F" w:rsidRPr="00B46A27" w:rsidRDefault="0029180F" w:rsidP="00631DF4">
            <w:pPr>
              <w:pStyle w:val="Prrafodelista"/>
              <w:numPr>
                <w:ilvl w:val="0"/>
                <w:numId w:val="5"/>
              </w:numPr>
              <w:rPr>
                <w:rFonts w:cstheme="minorHAnsi"/>
                <w:b/>
              </w:rPr>
            </w:pPr>
            <w:r w:rsidRPr="00B46A27">
              <w:rPr>
                <w:rFonts w:cstheme="minorHAnsi"/>
                <w:b/>
              </w:rPr>
              <w:t>Plan de trabajo en el marco del traslado del antiguo E</w:t>
            </w:r>
            <w:r>
              <w:rPr>
                <w:rFonts w:cstheme="minorHAnsi"/>
                <w:b/>
              </w:rPr>
              <w:t>TCR</w:t>
            </w:r>
            <w:r w:rsidRPr="00B46A27">
              <w:rPr>
                <w:rFonts w:cstheme="minorHAnsi"/>
                <w:b/>
              </w:rPr>
              <w:t xml:space="preserve"> Santa lucía a Mutatá</w:t>
            </w:r>
          </w:p>
          <w:p w14:paraId="49A7EE3E" w14:textId="77777777" w:rsidR="0029180F" w:rsidRPr="00B46A27" w:rsidRDefault="0029180F" w:rsidP="0029180F">
            <w:pPr>
              <w:pStyle w:val="Prrafodelista"/>
              <w:rPr>
                <w:rFonts w:cstheme="minorHAnsi"/>
                <w:b/>
              </w:rPr>
            </w:pPr>
          </w:p>
          <w:p w14:paraId="4A6B9FAF" w14:textId="77777777" w:rsidR="0029180F" w:rsidRPr="00B46A27" w:rsidRDefault="0029180F" w:rsidP="0029180F">
            <w:pPr>
              <w:pStyle w:val="Prrafodelista"/>
              <w:ind w:left="0"/>
              <w:rPr>
                <w:rFonts w:cstheme="minorHAnsi"/>
              </w:rPr>
            </w:pPr>
            <w:r w:rsidRPr="00B46A27">
              <w:rPr>
                <w:rFonts w:cstheme="minorHAnsi"/>
              </w:rPr>
              <w:t xml:space="preserve">En el marco del traslado del </w:t>
            </w:r>
            <w:r>
              <w:rPr>
                <w:rFonts w:cstheme="minorHAnsi"/>
              </w:rPr>
              <w:t xml:space="preserve">antiguo </w:t>
            </w:r>
            <w:r w:rsidRPr="00B46A27">
              <w:rPr>
                <w:rFonts w:cstheme="minorHAnsi"/>
              </w:rPr>
              <w:t>ETCR Santa Lucía hacia Mutatá y atendiendo las funciones asignadas a la ARN respecto a la provisión de los bienes y servicios requeridos para implementar el proceso de reincorporación, desde la vigencia 2020 se dispuso un plan de trabajo para garantizar las condiciones mínimas de habitabilidad y funcionalidad de este nuevo lugar, con el fin de otorgar las condiciones necesarias para que los excombatientes puedan continuar con su proceso de reincorporación a largo plazo.</w:t>
            </w:r>
          </w:p>
          <w:p w14:paraId="1DD9CA47" w14:textId="77777777" w:rsidR="0029180F" w:rsidRPr="00B46A27" w:rsidRDefault="0029180F" w:rsidP="0029180F">
            <w:pPr>
              <w:pStyle w:val="Prrafodelista"/>
              <w:ind w:left="0"/>
              <w:rPr>
                <w:rFonts w:cstheme="minorHAnsi"/>
              </w:rPr>
            </w:pPr>
          </w:p>
          <w:p w14:paraId="4731C721" w14:textId="77777777" w:rsidR="0029180F" w:rsidRPr="00B46A27" w:rsidRDefault="0029180F" w:rsidP="0029180F">
            <w:pPr>
              <w:pStyle w:val="Prrafodelista"/>
              <w:ind w:left="0"/>
              <w:rPr>
                <w:rFonts w:cstheme="minorHAnsi"/>
              </w:rPr>
            </w:pPr>
            <w:r w:rsidRPr="00B46A27">
              <w:rPr>
                <w:rFonts w:cstheme="minorHAnsi"/>
              </w:rPr>
              <w:t>En consecuencia, al 31 de marzo de 2021, se finalizó la ejecución de la obra contratada para el suministro e instalación de las soluciones habitacionales transitorias y los espacios comunitarios en Mutatá. Los módulos de alojamiento son individuales para cada persona en reincorporación y su núcleo familiar.  Están conformado por un área de servicios (cocina y baño), dos espacios de habitación y un espacio para el consumo de alimentos, para un total de área construida de 36 mts2, con espacios diferenciados con puertas en los accesos y su respectiva ventilación.  El alojamiento incluye las instalaciones hidráulicas, sanitarias y eléctricas hasta su acometida, así como los accesorios en cocina y baño.</w:t>
            </w:r>
          </w:p>
          <w:p w14:paraId="5BB125D0" w14:textId="77777777" w:rsidR="0029180F" w:rsidRPr="00B46A27" w:rsidRDefault="0029180F" w:rsidP="0029180F">
            <w:pPr>
              <w:pStyle w:val="Prrafodelista"/>
              <w:ind w:left="0"/>
              <w:rPr>
                <w:rFonts w:cstheme="minorHAnsi"/>
              </w:rPr>
            </w:pPr>
          </w:p>
          <w:p w14:paraId="36047AD3" w14:textId="77777777" w:rsidR="0029180F" w:rsidRPr="00B46A27" w:rsidRDefault="0029180F" w:rsidP="0029180F">
            <w:pPr>
              <w:rPr>
                <w:rFonts w:cstheme="minorHAnsi"/>
              </w:rPr>
            </w:pPr>
            <w:r w:rsidRPr="00B46A27">
              <w:rPr>
                <w:rFonts w:cstheme="minorHAnsi"/>
              </w:rPr>
              <w:t>Adicionalmente, se ejecutó en un en su totalidad la provisión de energía y redes eléctricas, finalizando obra el 12 de abril de 2021, donde se destacan las siguientes actividades:</w:t>
            </w:r>
          </w:p>
          <w:p w14:paraId="64E8B775" w14:textId="77777777" w:rsidR="0029180F" w:rsidRPr="00B46A27" w:rsidRDefault="0029180F" w:rsidP="0029180F">
            <w:pPr>
              <w:pStyle w:val="Prrafodelista"/>
              <w:contextualSpacing w:val="0"/>
              <w:rPr>
                <w:rFonts w:eastAsia="Times New Roman" w:cstheme="minorHAnsi"/>
                <w:lang w:eastAsia="es-MX"/>
              </w:rPr>
            </w:pPr>
          </w:p>
          <w:p w14:paraId="4ED2F64B" w14:textId="77777777" w:rsidR="0029180F" w:rsidRDefault="0029180F" w:rsidP="00631DF4">
            <w:pPr>
              <w:pStyle w:val="Prrafodelista"/>
              <w:numPr>
                <w:ilvl w:val="0"/>
                <w:numId w:val="12"/>
              </w:numPr>
              <w:rPr>
                <w:rFonts w:cstheme="minorHAnsi"/>
                <w:lang w:eastAsia="es-MX"/>
              </w:rPr>
            </w:pPr>
            <w:r w:rsidRPr="007D56C0">
              <w:rPr>
                <w:rFonts w:cstheme="minorHAnsi"/>
                <w:b/>
                <w:bCs/>
                <w:lang w:eastAsia="es-MX"/>
              </w:rPr>
              <w:t>Barrio 1:</w:t>
            </w:r>
            <w:r w:rsidRPr="007D56C0">
              <w:rPr>
                <w:rFonts w:cstheme="minorHAnsi"/>
                <w:lang w:eastAsia="es-MX"/>
              </w:rPr>
              <w:t xml:space="preserve"> </w:t>
            </w:r>
            <w:r w:rsidRPr="007D56C0">
              <w:rPr>
                <w:rFonts w:cstheme="minorHAnsi"/>
              </w:rPr>
              <w:t>Se tendió 115 m de red de media tensión MT, se instaló un (1) transformador de 50, red de baja tensión subterránea y acometidas eléctricas a los módulos habitacionales temporales, 21 postes de 6 m para alumbrado público con 42 reflectores de 100W, la interconexión se encuentra finalizada y legalizada ante la empresa de energía EPM.</w:t>
            </w:r>
          </w:p>
          <w:p w14:paraId="0E3F7F94" w14:textId="77777777" w:rsidR="0029180F" w:rsidRDefault="0029180F" w:rsidP="00631DF4">
            <w:pPr>
              <w:pStyle w:val="Prrafodelista"/>
              <w:numPr>
                <w:ilvl w:val="0"/>
                <w:numId w:val="12"/>
              </w:numPr>
              <w:rPr>
                <w:rFonts w:cstheme="minorHAnsi"/>
                <w:lang w:eastAsia="es-MX"/>
              </w:rPr>
            </w:pPr>
            <w:r w:rsidRPr="007D56C0">
              <w:rPr>
                <w:rFonts w:cstheme="minorHAnsi"/>
                <w:b/>
                <w:bCs/>
                <w:lang w:eastAsia="es-MX"/>
              </w:rPr>
              <w:t>Barrio 2:</w:t>
            </w:r>
            <w:r w:rsidRPr="007D56C0">
              <w:rPr>
                <w:rFonts w:cstheme="minorHAnsi"/>
                <w:lang w:eastAsia="es-MX"/>
              </w:rPr>
              <w:t xml:space="preserve"> </w:t>
            </w:r>
            <w:r w:rsidRPr="007D56C0">
              <w:rPr>
                <w:rFonts w:cstheme="minorHAnsi"/>
              </w:rPr>
              <w:t>Se tendió 95 m de red de media tensión MT, se instaló un (1) transformador de 37,5 KVA, red de baja tensión subterránea y acometidas eléctricas a los módulos habitacionales temporales, 4 postes de 6 m para alumbrado público con 8 reflectores de 100W.</w:t>
            </w:r>
          </w:p>
          <w:p w14:paraId="350E0C8F" w14:textId="77777777" w:rsidR="0029180F" w:rsidRPr="007D56C0" w:rsidRDefault="0029180F" w:rsidP="00631DF4">
            <w:pPr>
              <w:pStyle w:val="Prrafodelista"/>
              <w:numPr>
                <w:ilvl w:val="0"/>
                <w:numId w:val="12"/>
              </w:numPr>
              <w:rPr>
                <w:rFonts w:cstheme="minorHAnsi"/>
                <w:lang w:eastAsia="es-MX"/>
              </w:rPr>
            </w:pPr>
            <w:r w:rsidRPr="007D56C0">
              <w:rPr>
                <w:rFonts w:cstheme="minorHAnsi"/>
                <w:b/>
                <w:bCs/>
                <w:lang w:eastAsia="es-MX"/>
              </w:rPr>
              <w:t xml:space="preserve">PTAR: </w:t>
            </w:r>
            <w:r w:rsidRPr="007D56C0">
              <w:rPr>
                <w:rFonts w:cstheme="minorHAnsi"/>
                <w:lang w:eastAsia="es-MX"/>
              </w:rPr>
              <w:t>Se instalaron las redes eléctricas de baja tensión, circuitos de alimentación e iluminación independientes de acuerdo a las necesidades del cuarto técnico.  </w:t>
            </w:r>
          </w:p>
          <w:p w14:paraId="7704A1D6" w14:textId="77777777" w:rsidR="0029180F" w:rsidRPr="00B46A27" w:rsidRDefault="0029180F" w:rsidP="0029180F">
            <w:pPr>
              <w:pStyle w:val="NormalWeb"/>
              <w:spacing w:before="0" w:beforeAutospacing="0" w:after="0" w:afterAutospacing="0" w:line="276" w:lineRule="auto"/>
              <w:rPr>
                <w:rFonts w:asciiTheme="minorHAnsi" w:eastAsia="Calibri" w:hAnsiTheme="minorHAnsi" w:cstheme="minorHAnsi"/>
                <w:sz w:val="22"/>
                <w:szCs w:val="22"/>
                <w:lang w:eastAsia="en-US"/>
              </w:rPr>
            </w:pPr>
          </w:p>
          <w:p w14:paraId="07C1916C" w14:textId="77777777" w:rsidR="0029180F" w:rsidRPr="00B46A27" w:rsidRDefault="0029180F" w:rsidP="0029180F">
            <w:pPr>
              <w:autoSpaceDE w:val="0"/>
              <w:autoSpaceDN w:val="0"/>
              <w:rPr>
                <w:rFonts w:cstheme="minorHAnsi"/>
              </w:rPr>
            </w:pPr>
            <w:r w:rsidRPr="00B46A27">
              <w:rPr>
                <w:rFonts w:cstheme="minorHAnsi"/>
              </w:rPr>
              <w:t xml:space="preserve">Adicionalmente, con el objetivo de garantizar el saneamiento básico en el predio de Mutatá, se adelantaron las siguientes actividades: </w:t>
            </w:r>
          </w:p>
          <w:p w14:paraId="27F48752"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lastRenderedPageBreak/>
              <w:t>Alquiler de cinco baños portátiles que garantizaron temporalmente el saneamiento básico en Mutatá, incluyendo el servicio de instalación y desinstalación, mantenimiento y disposición final de residuos en lugar autorizado por la autoridad ambiental. Posteriormente, a partir del mes de abril de 2021, en atención al aumento de la población se contrataron 5 unidades sanitarias adicionales.</w:t>
            </w:r>
          </w:p>
          <w:p w14:paraId="6AF81945"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 xml:space="preserve">En el mes de marzo de 2021, se llevó a cabo la estructuración del proyecto para la implantación de redes hidrosanitarias y se radicaron ante el PNUD las solicitudes de contratación para la instalación de redes hidráulicas y sanitarias; y para la adquisición de la Planta de Tratamiento de Agua Residual con el propósito de seguir garantizando el saneamiento básico en el predio. </w:t>
            </w:r>
          </w:p>
          <w:p w14:paraId="4AEE6D05"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El 20 de mayo de 2021 se remitió el contrato de implantación de redes hidrosanitarias para firma del proponente seleccionado, quien dio inicio a las obras el día 24 de mayo.</w:t>
            </w:r>
          </w:p>
          <w:p w14:paraId="37D92385"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El día 28 de mayo de 2021 la empresa Eduardoño, encargada de la fabricación e instalación de la planta de tratamiento de agua residual PTAR, firmó contrato con PNUD para dar inicio a la fabricación de la misma</w:t>
            </w:r>
          </w:p>
          <w:p w14:paraId="203482D4" w14:textId="77777777" w:rsidR="0029180F"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 xml:space="preserve">En el mes de julio culminaron las obras de instalación y conducción de redes hidráulicas y sanitarias para las 63 soluciones habitacionales existentes en el antiguo ETCR Mutatá y en las que habitan 134 personas entre excombatientes y sus familias. </w:t>
            </w:r>
          </w:p>
          <w:p w14:paraId="198BCCDE" w14:textId="77777777" w:rsidR="0029180F" w:rsidRPr="007D56C0" w:rsidRDefault="0029180F" w:rsidP="00631DF4">
            <w:pPr>
              <w:pStyle w:val="Prrafodelista"/>
              <w:numPr>
                <w:ilvl w:val="0"/>
                <w:numId w:val="13"/>
              </w:numPr>
              <w:autoSpaceDE w:val="0"/>
              <w:autoSpaceDN w:val="0"/>
              <w:spacing w:line="276" w:lineRule="auto"/>
              <w:rPr>
                <w:rFonts w:cstheme="minorHAnsi"/>
              </w:rPr>
            </w:pPr>
            <w:r w:rsidRPr="007D56C0">
              <w:rPr>
                <w:rFonts w:cstheme="minorHAnsi"/>
              </w:rPr>
              <w:t xml:space="preserve">El 13 de agosto de 2021, se hizo entrega formal de la obra a la comunidad, consistente en las adecuaciones hidráulicas necesarias para el tratamiento de aguas residuales y el suministro de agua potable en las cocina, baños y lavaderos de las soluciones habitacionales transitorias (para mayor información ver: </w:t>
            </w:r>
            <w:hyperlink r:id="rId14" w:history="1">
              <w:r w:rsidRPr="007D56C0">
                <w:rPr>
                  <w:rStyle w:val="Hipervnculo"/>
                  <w:rFonts w:cstheme="minorHAnsi"/>
                </w:rPr>
                <w:t>https://www.youtube.com/watch?v=qSghpRFfmAY</w:t>
              </w:r>
            </w:hyperlink>
            <w:r w:rsidRPr="007D56C0">
              <w:rPr>
                <w:rFonts w:cstheme="minorHAnsi"/>
              </w:rPr>
              <w:t>)</w:t>
            </w:r>
          </w:p>
          <w:p w14:paraId="233F2FED" w14:textId="77777777" w:rsidR="0029180F" w:rsidRPr="00B46A27" w:rsidRDefault="0029180F" w:rsidP="0029180F">
            <w:pPr>
              <w:pStyle w:val="Prrafodelista"/>
              <w:ind w:left="0"/>
              <w:rPr>
                <w:rFonts w:cstheme="minorHAnsi"/>
              </w:rPr>
            </w:pPr>
          </w:p>
          <w:p w14:paraId="4A1E5151" w14:textId="77777777" w:rsidR="0029180F" w:rsidRPr="00B46A27" w:rsidRDefault="0029180F" w:rsidP="00631DF4">
            <w:pPr>
              <w:pStyle w:val="Prrafodelista"/>
              <w:numPr>
                <w:ilvl w:val="0"/>
                <w:numId w:val="5"/>
              </w:numPr>
              <w:rPr>
                <w:rFonts w:cstheme="minorHAnsi"/>
                <w:b/>
              </w:rPr>
            </w:pPr>
            <w:r w:rsidRPr="00B46A27">
              <w:rPr>
                <w:rFonts w:cstheme="minorHAnsi"/>
                <w:b/>
              </w:rPr>
              <w:t>Plan de trabajo en el marco del traslado del antiguo E</w:t>
            </w:r>
            <w:r>
              <w:rPr>
                <w:rFonts w:cstheme="minorHAnsi"/>
                <w:b/>
              </w:rPr>
              <w:t>TCR</w:t>
            </w:r>
            <w:r w:rsidRPr="00B46A27">
              <w:rPr>
                <w:rFonts w:cstheme="minorHAnsi"/>
                <w:b/>
              </w:rPr>
              <w:t xml:space="preserve"> Yari a El Doncello</w:t>
            </w:r>
          </w:p>
          <w:p w14:paraId="08226F70" w14:textId="77777777" w:rsidR="0029180F" w:rsidRPr="00B46A27" w:rsidRDefault="0029180F" w:rsidP="0029180F">
            <w:pPr>
              <w:pStyle w:val="Default"/>
              <w:rPr>
                <w:rFonts w:asciiTheme="minorHAnsi" w:hAnsiTheme="minorHAnsi" w:cstheme="minorHAnsi"/>
                <w:iCs/>
                <w:color w:val="auto"/>
                <w:sz w:val="22"/>
                <w:szCs w:val="22"/>
                <w:lang w:val="es-ES_tradnl" w:eastAsia="es-MX"/>
              </w:rPr>
            </w:pPr>
          </w:p>
          <w:p w14:paraId="2C19DB74" w14:textId="77777777" w:rsidR="0029180F" w:rsidRDefault="0029180F" w:rsidP="0029180F">
            <w:pPr>
              <w:rPr>
                <w:rFonts w:cstheme="minorHAnsi"/>
              </w:rPr>
            </w:pPr>
            <w:r w:rsidRPr="00B46A27">
              <w:rPr>
                <w:rFonts w:cstheme="minorHAnsi"/>
              </w:rPr>
              <w:t xml:space="preserve">Desde el momento en que fue concertada la decisión del traslado de la comunidad en proceso de reincorporación que se encontraba asentada en el antiguo ETCR Yari hacia el predio denominado “San José” en el municipio de Doncello (Caquetá) , la Agencia para la Reincorporación y Normalización inició de manera prioritaria la ejecución de un plan de trabajo con el propósito de identificar, estimar y priorizar la atención de las necesidades relacionadas con la adecuación de las soluciones inmediatas de alojamientos transitorios e infraestructura y saneamiento básico, lo cual ha permitido </w:t>
            </w:r>
            <w:r w:rsidRPr="00B46A27">
              <w:rPr>
                <w:rFonts w:cstheme="minorHAnsi"/>
              </w:rPr>
              <w:lastRenderedPageBreak/>
              <w:t>adelantar las actividades requeridas para brindar la oferta institucional en materia de servicios básicos a esta población.</w:t>
            </w:r>
          </w:p>
          <w:p w14:paraId="7704BAB8" w14:textId="77777777" w:rsidR="0029180F" w:rsidRPr="00B46A27" w:rsidRDefault="0029180F" w:rsidP="0029180F">
            <w:pPr>
              <w:rPr>
                <w:rFonts w:cstheme="minorHAnsi"/>
              </w:rPr>
            </w:pPr>
          </w:p>
          <w:p w14:paraId="0B7C0CEC" w14:textId="77777777" w:rsidR="0029180F" w:rsidRPr="00B46A27" w:rsidRDefault="0029180F" w:rsidP="0029180F">
            <w:pPr>
              <w:pStyle w:val="Default"/>
              <w:rPr>
                <w:rFonts w:asciiTheme="minorHAnsi" w:hAnsiTheme="minorHAnsi" w:cstheme="minorHAnsi"/>
                <w:b/>
                <w:iCs/>
                <w:sz w:val="22"/>
                <w:szCs w:val="22"/>
              </w:rPr>
            </w:pPr>
            <w:r w:rsidRPr="00B46A27">
              <w:rPr>
                <w:rFonts w:asciiTheme="minorHAnsi" w:hAnsiTheme="minorHAnsi" w:cstheme="minorHAnsi"/>
                <w:b/>
                <w:iCs/>
                <w:sz w:val="22"/>
                <w:szCs w:val="22"/>
              </w:rPr>
              <w:t>Soluciones habitacionales temporales</w:t>
            </w:r>
          </w:p>
          <w:p w14:paraId="310878C0" w14:textId="77777777" w:rsidR="0029180F" w:rsidRDefault="0029180F" w:rsidP="0029180F">
            <w:pPr>
              <w:rPr>
                <w:rFonts w:cstheme="minorHAnsi"/>
              </w:rPr>
            </w:pPr>
          </w:p>
          <w:p w14:paraId="2D0D2E60" w14:textId="77777777" w:rsidR="0029180F" w:rsidRDefault="0029180F" w:rsidP="0029180F">
            <w:pPr>
              <w:rPr>
                <w:rFonts w:cstheme="minorHAnsi"/>
              </w:rPr>
            </w:pPr>
            <w:r w:rsidRPr="00B46A27">
              <w:rPr>
                <w:rFonts w:cstheme="minorHAnsi"/>
              </w:rPr>
              <w:t xml:space="preserve">Con el propósito de garantizar soluciones habitacionales transitorias, desde antes de la llegada de la comunidad al nuevo predio se llevó a cabo la instalación de carpas tipo Shelter para la totalidad de familias que fueron trasladadas. Al respecto es importante mencionar que cada carpa cuenta con marco de acero que se ancla firmemente al suelo y va revestido con paneles ligeros y resistentes que constituyen las paredes y el techo y cuenta con una (1) puerta con cerradura, cuatro (4) ventanas y cuatro (4) aperturas de ventilación </w:t>
            </w:r>
            <w:r w:rsidRPr="00B46A27">
              <w:rPr>
                <w:rFonts w:cstheme="minorHAnsi"/>
                <w:lang w:val="es-MX" w:eastAsia="ja-JP"/>
              </w:rPr>
              <w:t>con el objetivo de que en las zonas horarias de mayor intensidad de radiación solar estas permanezcan abiertas y permitan la circulación de aire al interior de la carpa. Adicionalmente cuenta</w:t>
            </w:r>
            <w:r w:rsidRPr="00B46A27">
              <w:rPr>
                <w:rFonts w:cstheme="minorHAnsi"/>
              </w:rPr>
              <w:t>n con un panel solar que se instala en el techo y genera energía para iluminar la lámpara integrada y para cargar dispositivos electrónicos.</w:t>
            </w:r>
          </w:p>
          <w:p w14:paraId="6DB8DD6F" w14:textId="77777777" w:rsidR="0029180F" w:rsidRPr="00B46A27" w:rsidRDefault="0029180F" w:rsidP="0029180F">
            <w:pPr>
              <w:rPr>
                <w:rFonts w:cstheme="minorHAnsi"/>
              </w:rPr>
            </w:pPr>
          </w:p>
          <w:p w14:paraId="5964848B" w14:textId="77777777" w:rsidR="0048016F" w:rsidRDefault="0029180F" w:rsidP="0029180F">
            <w:pPr>
              <w:rPr>
                <w:rFonts w:eastAsia="Times New Roman" w:cstheme="minorHAnsi"/>
                <w:lang w:eastAsia="es-CO"/>
              </w:rPr>
            </w:pPr>
            <w:r w:rsidRPr="00B46A27">
              <w:rPr>
                <w:rFonts w:cstheme="minorHAnsi"/>
              </w:rPr>
              <w:t xml:space="preserve">Debido a que el rango de temperatura en las carpas varía de 5-40°C; el 30 de diciembre de 2021 se llevó a cabo la adquisición de seis (6) rollos de polisombra al 80% de 4 mts X 100 mts cada uno, </w:t>
            </w:r>
            <w:r w:rsidRPr="00B46A27">
              <w:rPr>
                <w:rFonts w:eastAsia="Times New Roman" w:cstheme="minorHAnsi"/>
                <w:lang w:eastAsia="es-CO"/>
              </w:rPr>
              <w:t>como solución para reducir la sensación de calor al interior de los alojamientos transitorios.</w:t>
            </w:r>
          </w:p>
          <w:p w14:paraId="6813CCE1" w14:textId="4BECE045" w:rsidR="0029180F" w:rsidRPr="00B46A27" w:rsidRDefault="0029180F" w:rsidP="0029180F">
            <w:pPr>
              <w:rPr>
                <w:rFonts w:eastAsia="Times New Roman" w:cstheme="minorHAnsi"/>
                <w:lang w:eastAsia="es-CO"/>
              </w:rPr>
            </w:pPr>
            <w:r w:rsidRPr="00B46A27">
              <w:rPr>
                <w:rFonts w:eastAsia="Times New Roman" w:cstheme="minorHAnsi"/>
                <w:lang w:eastAsia="es-CO"/>
              </w:rPr>
              <w:t xml:space="preserve"> </w:t>
            </w:r>
          </w:p>
          <w:p w14:paraId="5AA7C0C2" w14:textId="77777777" w:rsidR="0029180F" w:rsidRPr="00B46A27" w:rsidRDefault="0029180F" w:rsidP="0029180F">
            <w:pPr>
              <w:spacing w:after="240"/>
              <w:rPr>
                <w:rFonts w:eastAsia="Times New Roman" w:cstheme="minorHAnsi"/>
                <w:b/>
                <w:iCs/>
              </w:rPr>
            </w:pPr>
            <w:r w:rsidRPr="00B46A27">
              <w:rPr>
                <w:rFonts w:eastAsia="Times New Roman" w:cstheme="minorHAnsi"/>
                <w:b/>
                <w:iCs/>
              </w:rPr>
              <w:t>Dotación de baterías sanitarias</w:t>
            </w:r>
          </w:p>
          <w:p w14:paraId="709AB754" w14:textId="003D9B4C" w:rsidR="0029180F" w:rsidRDefault="0029180F" w:rsidP="0029180F">
            <w:pPr>
              <w:rPr>
                <w:rFonts w:cstheme="minorHAnsi"/>
              </w:rPr>
            </w:pPr>
            <w:r w:rsidRPr="00B46A27">
              <w:rPr>
                <w:rFonts w:cstheme="minorHAnsi"/>
              </w:rPr>
              <w:t>Desde el mismo momento del traslado de la comunidad al predio, se garantiza el saneamiento básico mediante el uso de diez (10) Unidades Sanitarias Portátiles (USP), las cuales no generan vertimientos sin tratamiento y no requieren de grandes volúmenes de agua para su funcionamiento.</w:t>
            </w:r>
          </w:p>
          <w:p w14:paraId="567B5B12" w14:textId="77777777" w:rsidR="0048016F" w:rsidRDefault="0048016F" w:rsidP="0029180F">
            <w:pPr>
              <w:rPr>
                <w:rFonts w:cstheme="minorHAnsi"/>
              </w:rPr>
            </w:pPr>
          </w:p>
          <w:p w14:paraId="7A77FE15" w14:textId="55619EAD" w:rsidR="0029180F" w:rsidRDefault="0029180F" w:rsidP="0029180F">
            <w:pPr>
              <w:rPr>
                <w:rFonts w:cstheme="minorHAnsi"/>
              </w:rPr>
            </w:pPr>
            <w:r w:rsidRPr="00B46A27">
              <w:rPr>
                <w:rFonts w:cstheme="minorHAnsi"/>
              </w:rPr>
              <w:t>Estas unidades cuentan con lavamanos, porta rollos, basurera, espejo anti vandálico, orinal independiente, rejillas de ventilación y chapa seguro, incluyendo el servicio de mantenimiento una vez por semana, el cual comprende las siguientes actividades: Succión y recolección de agua residual de las unidades sanitarias portátiles, mantenimiento interno y externo de unidades (lavado), aplicación de líquido biodegradable para el control de olores en lapso de 7 a 10 días, odorización y suministro de papel higiénico, (2) rollos en cada limpieza. El servicio se presta cumpliendo los requerimientos y parámetros definidos por la normatividad, incluyendo las especificaciones en el Decreto 1079 de 2015; el transporte de los residuos se realiza desde el predio hasta una planta de biorremediación y se entrega certificado de tratamiento y disposición de agua residual, de acuerdo con lo establecido por la autoridad ambiental</w:t>
            </w:r>
            <w:r>
              <w:rPr>
                <w:rFonts w:cstheme="minorHAnsi"/>
              </w:rPr>
              <w:t>.</w:t>
            </w:r>
          </w:p>
          <w:p w14:paraId="1D11329C" w14:textId="77777777" w:rsidR="0048016F" w:rsidRPr="00B46A27" w:rsidRDefault="0048016F" w:rsidP="0029180F">
            <w:pPr>
              <w:rPr>
                <w:rFonts w:cstheme="minorHAnsi"/>
              </w:rPr>
            </w:pPr>
          </w:p>
          <w:p w14:paraId="685B7379" w14:textId="77777777" w:rsidR="0029180F" w:rsidRPr="002260C0" w:rsidRDefault="0029180F" w:rsidP="0029180F">
            <w:pPr>
              <w:spacing w:after="240"/>
              <w:rPr>
                <w:rFonts w:cstheme="minorHAnsi"/>
              </w:rPr>
            </w:pPr>
            <w:r w:rsidRPr="00B46A27">
              <w:rPr>
                <w:rFonts w:cstheme="minorHAnsi"/>
              </w:rPr>
              <w:t xml:space="preserve">Esta es una medida requerida de carácter temporal mientras se habilitaba el uso de las diez (10) baterías sanitarias que posteriormente fueron </w:t>
            </w:r>
            <w:r w:rsidRPr="00B46A27">
              <w:rPr>
                <w:rFonts w:cstheme="minorHAnsi"/>
              </w:rPr>
              <w:lastRenderedPageBreak/>
              <w:t>construidas, compuestas por lavamanos, ducha, grifería, sanitario, toallero, papelera y seis (6) lavaderos, cuyas obras de adecuación finalizaron el 30 de diciembre de 2021.</w:t>
            </w:r>
          </w:p>
          <w:p w14:paraId="1769CEF0" w14:textId="77777777" w:rsidR="0029180F" w:rsidRPr="00B46A27" w:rsidRDefault="0029180F" w:rsidP="0029180F">
            <w:pPr>
              <w:spacing w:after="240"/>
              <w:rPr>
                <w:rFonts w:cstheme="minorHAnsi"/>
              </w:rPr>
            </w:pPr>
            <w:r w:rsidRPr="00B46A27">
              <w:rPr>
                <w:rFonts w:eastAsia="Times New Roman" w:cstheme="minorHAnsi"/>
                <w:b/>
                <w:iCs/>
              </w:rPr>
              <w:t>Adecuación de los lugares donde se establecerán las cocinas y comedores</w:t>
            </w:r>
          </w:p>
          <w:p w14:paraId="513488D4" w14:textId="77777777" w:rsidR="0029180F" w:rsidRPr="00B46A27" w:rsidRDefault="0029180F" w:rsidP="0029180F">
            <w:pPr>
              <w:rPr>
                <w:rFonts w:eastAsia="Times New Roman" w:cstheme="minorHAnsi"/>
                <w:bCs/>
                <w:color w:val="212121"/>
                <w:lang w:eastAsia="es-CO"/>
              </w:rPr>
            </w:pPr>
            <w:r w:rsidRPr="00B46A27">
              <w:rPr>
                <w:rFonts w:eastAsia="Times New Roman" w:cstheme="minorHAnsi"/>
                <w:bCs/>
                <w:color w:val="212121"/>
                <w:lang w:eastAsia="es-CO"/>
              </w:rPr>
              <w:t>En atención a los compromisos establecidos con la comunidad durante las primeras mesas de trabajo, la ARN adelantó obras de adecuación a la vivienda existente en el predio, cuya construcción actual incluye una cocina de 3 x 3 mts, con un mesón en concreto, lavaplatos y estufa. Para tal efecto, las reparaciones locativas contemplaron:</w:t>
            </w:r>
          </w:p>
          <w:p w14:paraId="67721D55"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Mantenimiento de puertas y ventanas existentes</w:t>
            </w:r>
          </w:p>
          <w:p w14:paraId="1FDC2A6F"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Mantenimiento de reja de acceso</w:t>
            </w:r>
          </w:p>
          <w:p w14:paraId="5C54B505"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Suministro e instalación de ventana tipo reja para zona de cocina existente</w:t>
            </w:r>
          </w:p>
          <w:p w14:paraId="38B172B5" w14:textId="77777777" w:rsidR="0029180F" w:rsidRPr="007D56C0" w:rsidRDefault="0029180F" w:rsidP="00631DF4">
            <w:pPr>
              <w:pStyle w:val="Prrafodelista"/>
              <w:numPr>
                <w:ilvl w:val="0"/>
                <w:numId w:val="14"/>
              </w:numPr>
              <w:spacing w:after="100"/>
              <w:ind w:right="-376"/>
              <w:rPr>
                <w:rFonts w:cstheme="minorHAnsi"/>
              </w:rPr>
            </w:pPr>
            <w:r w:rsidRPr="007D56C0">
              <w:rPr>
                <w:rFonts w:cstheme="minorHAnsi"/>
              </w:rPr>
              <w:t>Suministro e instalación de 5 puertas</w:t>
            </w:r>
          </w:p>
          <w:p w14:paraId="0A8A6731" w14:textId="77777777" w:rsidR="0029180F" w:rsidRPr="007D56C0" w:rsidRDefault="0029180F" w:rsidP="00631DF4">
            <w:pPr>
              <w:pStyle w:val="Prrafodelista"/>
              <w:numPr>
                <w:ilvl w:val="0"/>
                <w:numId w:val="14"/>
              </w:numPr>
              <w:spacing w:after="100"/>
              <w:ind w:right="29"/>
              <w:rPr>
                <w:rFonts w:cstheme="minorHAnsi"/>
              </w:rPr>
            </w:pPr>
            <w:r w:rsidRPr="007D56C0">
              <w:rPr>
                <w:rFonts w:cstheme="minorHAnsi"/>
              </w:rPr>
              <w:t>Cambio de sanitarios de los 2 baños existentes</w:t>
            </w:r>
          </w:p>
          <w:p w14:paraId="7AA589AE" w14:textId="77777777" w:rsidR="0029180F" w:rsidRPr="00420A3E" w:rsidRDefault="0029180F" w:rsidP="00631DF4">
            <w:pPr>
              <w:pStyle w:val="Prrafodelista"/>
              <w:numPr>
                <w:ilvl w:val="0"/>
                <w:numId w:val="14"/>
              </w:numPr>
              <w:spacing w:after="100"/>
              <w:ind w:right="29"/>
              <w:rPr>
                <w:rFonts w:cstheme="minorHAnsi"/>
              </w:rPr>
            </w:pPr>
            <w:r w:rsidRPr="007D56C0">
              <w:rPr>
                <w:rFonts w:cstheme="minorHAnsi"/>
              </w:rPr>
              <w:t>Cambio de grifería de lavaplatos existente</w:t>
            </w:r>
          </w:p>
          <w:p w14:paraId="3B9FD1F8" w14:textId="77777777" w:rsidR="0029180F" w:rsidRPr="00420A3E" w:rsidRDefault="0029180F" w:rsidP="00631DF4">
            <w:pPr>
              <w:pStyle w:val="Prrafodelista"/>
              <w:numPr>
                <w:ilvl w:val="0"/>
                <w:numId w:val="14"/>
              </w:numPr>
              <w:spacing w:after="100"/>
              <w:ind w:right="29"/>
              <w:rPr>
                <w:rFonts w:cstheme="minorHAnsi"/>
              </w:rPr>
            </w:pPr>
            <w:r w:rsidRPr="00420A3E">
              <w:rPr>
                <w:rFonts w:cstheme="minorHAnsi"/>
              </w:rPr>
              <w:t>Ampliación de la casa en la parte posterior, con la construcción de una placa en concreto de        5 x 17,9 mts de 10cm de espesor, estructura metálica a una caída (incluye columnas, correas en perfilería metálica y pintura anticorrosiva negra) y cubierta en teja de zinc.</w:t>
            </w:r>
          </w:p>
          <w:p w14:paraId="7D46F760" w14:textId="77777777" w:rsidR="0029180F" w:rsidRPr="00B46A27" w:rsidRDefault="0029180F" w:rsidP="0029180F">
            <w:pPr>
              <w:spacing w:after="240"/>
              <w:rPr>
                <w:rFonts w:eastAsia="Times New Roman" w:cstheme="minorHAnsi"/>
                <w:iCs/>
              </w:rPr>
            </w:pPr>
            <w:r w:rsidRPr="00B46A27">
              <w:rPr>
                <w:rFonts w:eastAsia="Times New Roman" w:cstheme="minorHAnsi"/>
                <w:b/>
                <w:iCs/>
              </w:rPr>
              <w:t>Prestación del servicio de agua potable</w:t>
            </w:r>
          </w:p>
          <w:p w14:paraId="268D0760" w14:textId="77777777" w:rsidR="0029180F" w:rsidRPr="00B46A27" w:rsidRDefault="0029180F" w:rsidP="0029180F">
            <w:pPr>
              <w:spacing w:after="240"/>
              <w:rPr>
                <w:rFonts w:eastAsia="Times New Roman" w:cstheme="minorHAnsi"/>
                <w:iCs/>
              </w:rPr>
            </w:pPr>
            <w:r w:rsidRPr="00B46A27">
              <w:rPr>
                <w:rFonts w:cstheme="minorHAnsi"/>
              </w:rPr>
              <w:t xml:space="preserve">Con el propósito de garantizar el suministro de agua en el predio, fueron dispuestos </w:t>
            </w:r>
            <w:r w:rsidRPr="00B46A27">
              <w:rPr>
                <w:rFonts w:cstheme="minorHAnsi"/>
                <w:lang w:eastAsia="es-CO"/>
              </w:rPr>
              <w:t xml:space="preserve">dos (2) tanques de 5000lts, ubicados de manera estratégica para facilitar el acceso a dicho suministro Adicionalmente se dio inicio a la ejecución la obra de construcción de una bocatoma y línea de aducción desde la bocatoma hasta los tanques de almacenamiento, cuya terminación </w:t>
            </w:r>
            <w:r w:rsidRPr="00B46A27">
              <w:rPr>
                <w:rFonts w:cstheme="minorHAnsi"/>
              </w:rPr>
              <w:t>permitirá garantizar el suministro a la población sin interrupciones.</w:t>
            </w:r>
          </w:p>
          <w:p w14:paraId="0B60BE20" w14:textId="77777777" w:rsidR="0029180F" w:rsidRPr="00B46A27" w:rsidRDefault="0029180F" w:rsidP="0029180F">
            <w:pPr>
              <w:spacing w:line="256" w:lineRule="auto"/>
              <w:rPr>
                <w:rFonts w:cstheme="minorHAnsi"/>
              </w:rPr>
            </w:pPr>
            <w:r w:rsidRPr="00B46A27">
              <w:rPr>
                <w:rFonts w:eastAsia="Times New Roman" w:cstheme="minorHAnsi"/>
                <w:b/>
                <w:iCs/>
              </w:rPr>
              <w:t xml:space="preserve">Provisión de servicio de energía </w:t>
            </w:r>
          </w:p>
          <w:p w14:paraId="196A99B5" w14:textId="77777777" w:rsidR="0029180F" w:rsidRPr="00B46A27" w:rsidRDefault="0029180F" w:rsidP="0029180F">
            <w:pPr>
              <w:spacing w:line="256" w:lineRule="auto"/>
              <w:rPr>
                <w:rFonts w:eastAsia="Times New Roman" w:cstheme="minorHAnsi"/>
                <w:bCs/>
                <w:color w:val="000000" w:themeColor="text1"/>
                <w:lang w:eastAsia="es-CO"/>
              </w:rPr>
            </w:pPr>
            <w:r w:rsidRPr="00B46A27">
              <w:rPr>
                <w:rFonts w:eastAsia="Times New Roman" w:cstheme="minorHAnsi"/>
                <w:bCs/>
                <w:color w:val="000000" w:themeColor="text1"/>
                <w:lang w:eastAsia="es-CO"/>
              </w:rPr>
              <w:t>Dado que el predio cuenta con una red eléctrica de baja tensión, con el fin de repotenciar la misma en virtud de las nuevas necesidades en cuanto a energía eléctrica, durante la vigencia 2021 fueron adelantadas las siguientes actividades:</w:t>
            </w:r>
          </w:p>
          <w:p w14:paraId="2997848E"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 xml:space="preserve">Solicitud formal a la Empresa de energía Electro Caquetá, para aprobación de la conexión provisional a las redes eléctricas en el punto de conexión asociado a transformador de 15 KVA, para el suministro de energía de las carpas, alumbrado público y suministro de energía para el punto de captación. </w:t>
            </w:r>
          </w:p>
          <w:p w14:paraId="34C50039"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postes metálicos de 8m para el soporte de la red trenzada y la ubicación de reflectores para el alumbrado público.</w:t>
            </w:r>
          </w:p>
          <w:p w14:paraId="04A64CDF"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tableros de distribución y acometidas en calibre 2X8 + 1X6 AWG para el suministro de energía para las carpas.</w:t>
            </w:r>
          </w:p>
          <w:p w14:paraId="7ADFC965"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lastRenderedPageBreak/>
              <w:t>Instalación de la red trenzada de 2X2 + 1X2 AWG para el suministro de energía para las 35 carpas y el alumbrado público.</w:t>
            </w:r>
          </w:p>
          <w:p w14:paraId="763E2558"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 xml:space="preserve">Instalación de toma corrientes, interruptores y bombillos led de 7W en las 35 carpas.    </w:t>
            </w:r>
          </w:p>
          <w:p w14:paraId="492B9256"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los sistemas de puesta a tierra con varilla de cobre de 5/8”, y conductor en calibre 8 AWG, para los 5 tableros de distribución.</w:t>
            </w:r>
          </w:p>
          <w:p w14:paraId="2799C057" w14:textId="77777777" w:rsidR="0029180F" w:rsidRPr="007D56C0" w:rsidRDefault="0029180F" w:rsidP="00631DF4">
            <w:pPr>
              <w:pStyle w:val="Prrafodelista"/>
              <w:numPr>
                <w:ilvl w:val="0"/>
                <w:numId w:val="15"/>
              </w:numPr>
              <w:rPr>
                <w:rFonts w:cstheme="minorHAnsi"/>
                <w:lang w:eastAsia="es-CO"/>
              </w:rPr>
            </w:pPr>
            <w:r w:rsidRPr="007D56C0">
              <w:rPr>
                <w:rFonts w:cstheme="minorHAnsi"/>
                <w:lang w:eastAsia="es-CO"/>
              </w:rPr>
              <w:t>Instalación de 34 reflectores led de 100W en el polígono donde se ubican las carpas y la construcción de las baterías sanitarias, para el alumbrado público.</w:t>
            </w:r>
          </w:p>
          <w:p w14:paraId="50748DF0" w14:textId="77777777" w:rsidR="0029180F" w:rsidRPr="00B46A27" w:rsidRDefault="0029180F" w:rsidP="0029180F">
            <w:pPr>
              <w:pStyle w:val="Prrafodelista"/>
              <w:ind w:left="1500"/>
              <w:rPr>
                <w:rFonts w:cstheme="minorHAnsi"/>
                <w:lang w:eastAsia="es-CO"/>
              </w:rPr>
            </w:pPr>
          </w:p>
          <w:p w14:paraId="22762334" w14:textId="77777777" w:rsidR="0029180F" w:rsidRPr="00B46A27" w:rsidRDefault="0029180F" w:rsidP="0029180F">
            <w:pPr>
              <w:rPr>
                <w:rFonts w:cstheme="minorHAnsi"/>
                <w:lang w:eastAsia="es-CO"/>
              </w:rPr>
            </w:pPr>
            <w:r w:rsidRPr="00B46A27">
              <w:rPr>
                <w:rFonts w:cstheme="minorHAnsi"/>
              </w:rPr>
              <w:t xml:space="preserve">De otra parte, </w:t>
            </w:r>
            <w:r w:rsidRPr="00B46A27">
              <w:rPr>
                <w:rFonts w:cstheme="minorHAnsi"/>
                <w:lang w:eastAsia="es-CO"/>
              </w:rPr>
              <w:t>se efectuó el tendido para la repotenciación de la acometida eléctrica del predio, desde la red de baja tensión de Electro Caquetá hasta el tablero de medida, el cual fue instalado de acuerdo a especificaciones técnicas con tres circuitos: Circuito 1: Alumbrado público y suministro de energía para las carpas, Circuito 2: suministro de energía electrobomba punto de captación y Circuito 3: reserva.</w:t>
            </w:r>
          </w:p>
          <w:p w14:paraId="293154C3" w14:textId="37CF4365" w:rsidR="0029180F" w:rsidRDefault="0029180F" w:rsidP="0029180F">
            <w:pPr>
              <w:rPr>
                <w:rFonts w:cstheme="minorHAnsi"/>
                <w:lang w:eastAsia="es-CO"/>
              </w:rPr>
            </w:pPr>
            <w:r w:rsidRPr="00B46A27">
              <w:rPr>
                <w:rFonts w:cstheme="minorHAnsi"/>
                <w:lang w:eastAsia="es-CO"/>
              </w:rPr>
              <w:t>Adicionalmente en la casa existente en el predio fueron instalados ocho (8) reflectores para proveer mayor iluminación en dicha zona</w:t>
            </w:r>
            <w:r>
              <w:rPr>
                <w:rFonts w:cstheme="minorHAnsi"/>
                <w:lang w:eastAsia="es-CO"/>
              </w:rPr>
              <w:t>.</w:t>
            </w:r>
          </w:p>
          <w:p w14:paraId="2559406D" w14:textId="77777777" w:rsidR="0048016F" w:rsidRPr="00B46A27" w:rsidRDefault="0048016F" w:rsidP="0029180F">
            <w:pPr>
              <w:rPr>
                <w:rFonts w:cstheme="minorHAnsi"/>
                <w:lang w:eastAsia="es-CO"/>
              </w:rPr>
            </w:pPr>
          </w:p>
          <w:p w14:paraId="648D92A1" w14:textId="77777777" w:rsidR="0029180F" w:rsidRPr="00B46A27" w:rsidRDefault="0029180F" w:rsidP="0048016F">
            <w:pPr>
              <w:rPr>
                <w:rFonts w:eastAsia="Times New Roman" w:cstheme="minorHAnsi"/>
                <w:b/>
                <w:i/>
                <w:iCs/>
              </w:rPr>
            </w:pPr>
            <w:r w:rsidRPr="00B46A27">
              <w:rPr>
                <w:rFonts w:eastAsia="Times New Roman" w:cstheme="minorHAnsi"/>
                <w:b/>
                <w:i/>
                <w:iCs/>
              </w:rPr>
              <w:t>Adecuación vía de acceso</w:t>
            </w:r>
          </w:p>
          <w:p w14:paraId="263F29DE" w14:textId="27FE9C88" w:rsidR="0029180F" w:rsidRDefault="0029180F" w:rsidP="0048016F">
            <w:pPr>
              <w:rPr>
                <w:rFonts w:cstheme="minorHAnsi"/>
              </w:rPr>
            </w:pPr>
            <w:r w:rsidRPr="00B46A27">
              <w:rPr>
                <w:rFonts w:cstheme="minorHAnsi"/>
              </w:rPr>
              <w:t xml:space="preserve">Previo al traslado de la comunidad, fueron adelantadas gestiones de articulación con entes territoriales para el préstamo de maquinaria y fue adquirido el material granular para intervención y mejoramiento de vía de acceso al predio. Posteriormente se ejecuta la distribución y asentamiento del material granular con maquinaria amarilla, y se adelantan adecuación y mejoramiento para la vía de acceso al predio, desde la vía nacional ubicada en el acceso al predio San Jose, hasta el polígono donde se encuentran ubicadas las soluciones transitorias de habitabilidad. Dicho tramo se encuentra actualmente reafirmado y funcionando de manera óptima, lo que garantiza la accesibilidad al espacio. </w:t>
            </w:r>
          </w:p>
          <w:p w14:paraId="6DC7C7B3" w14:textId="77777777" w:rsidR="0048016F" w:rsidRPr="00B46A27" w:rsidRDefault="0048016F" w:rsidP="0029180F">
            <w:pPr>
              <w:rPr>
                <w:rFonts w:cstheme="minorHAnsi"/>
              </w:rPr>
            </w:pPr>
          </w:p>
          <w:p w14:paraId="6035FB65" w14:textId="77777777" w:rsidR="0029180F" w:rsidRPr="002260C0" w:rsidRDefault="0029180F" w:rsidP="00631DF4">
            <w:pPr>
              <w:pStyle w:val="Prrafodelista"/>
              <w:numPr>
                <w:ilvl w:val="0"/>
                <w:numId w:val="5"/>
              </w:numPr>
              <w:rPr>
                <w:rFonts w:cstheme="minorHAnsi"/>
                <w:b/>
              </w:rPr>
            </w:pPr>
            <w:r w:rsidRPr="002260C0">
              <w:rPr>
                <w:rFonts w:cstheme="minorHAnsi"/>
                <w:b/>
              </w:rPr>
              <w:t>Suministro de víveres</w:t>
            </w:r>
          </w:p>
          <w:p w14:paraId="465EE6D4" w14:textId="77777777" w:rsidR="0029180F" w:rsidRPr="00B46A27" w:rsidRDefault="0029180F" w:rsidP="0048016F">
            <w:pPr>
              <w:rPr>
                <w:rFonts w:cstheme="minorHAnsi"/>
                <w:bCs/>
                <w:lang w:val="es-MX"/>
              </w:rPr>
            </w:pPr>
            <w:r w:rsidRPr="00B46A27">
              <w:rPr>
                <w:rFonts w:cstheme="minorHAnsi"/>
                <w:bCs/>
                <w:lang w:val="es-MX"/>
              </w:rPr>
              <w:t xml:space="preserve">En primera instancia es necesario mencionar que el suministro de víveres secos y frescos en los antiguos ETCR no es una medida derivada del Acuerdo, debido a que en primer lugar, los </w:t>
            </w:r>
            <w:r>
              <w:rPr>
                <w:rFonts w:cstheme="minorHAnsi"/>
                <w:bCs/>
                <w:lang w:val="es-MX"/>
              </w:rPr>
              <w:t xml:space="preserve">antiguos </w:t>
            </w:r>
            <w:r w:rsidRPr="00B46A27">
              <w:rPr>
                <w:rFonts w:cstheme="minorHAnsi"/>
                <w:bCs/>
                <w:lang w:val="es-MX"/>
              </w:rPr>
              <w:t xml:space="preserve">ETCR, no fueron pactados en el Acuerdo y, en segundo lugar, porque el suministro de alimentación a las personas en proceso de reincorporación, solo se pactó para la duración de las Zonas Veredales Transitorias de Normalización (ZVTN) según el Acta de Acuerdos de Trabajo suscrita el día 17 de enero de 2017 (Acta del Yarí). No obstante, una vez transformadas las ZVTN en Espacios Territoriales de Capacitación y Reincorporación –ETCR, el Gobierno Nacional, de forma unilateral, extendió esta medida temporal de suministro de víveres, teniendo en cuenta que estos lugares servirían de escenarios para adelantar el proceso de reincorporación de los exintegrantes de las FARC- EP. Ahora bien, una vez finalizada la figura jurídica de los ETCR el 15 de agosto de 2019; y haciendo un significativo esfuerzo, el Gobierno Nacional ha seguido </w:t>
            </w:r>
            <w:r w:rsidRPr="00B46A27">
              <w:rPr>
                <w:rFonts w:cstheme="minorHAnsi"/>
                <w:bCs/>
                <w:lang w:val="es-MX"/>
              </w:rPr>
              <w:lastRenderedPageBreak/>
              <w:t>extendiendo esta medida temporal de asistencia social alimentaria, con el fin de apoyar el proceso de reincorporación a la vida civil de los exintegrantes de las FARC-EP.</w:t>
            </w:r>
          </w:p>
          <w:p w14:paraId="41CA1F25" w14:textId="77777777" w:rsidR="0029180F" w:rsidRPr="00B46A27" w:rsidRDefault="0029180F" w:rsidP="0029180F">
            <w:pPr>
              <w:rPr>
                <w:rFonts w:cstheme="minorHAnsi"/>
                <w:bCs/>
                <w:lang w:val="es-MX"/>
              </w:rPr>
            </w:pPr>
          </w:p>
          <w:p w14:paraId="021996E7" w14:textId="77777777" w:rsidR="0029180F" w:rsidRPr="00B46A27" w:rsidRDefault="0029180F" w:rsidP="0029180F">
            <w:pPr>
              <w:rPr>
                <w:rFonts w:cstheme="minorHAnsi"/>
                <w:bCs/>
                <w:lang w:val="es-MX"/>
              </w:rPr>
            </w:pPr>
            <w:r w:rsidRPr="00B46A27">
              <w:rPr>
                <w:rFonts w:cstheme="minorHAnsi"/>
                <w:bCs/>
                <w:lang w:val="es-MX"/>
              </w:rPr>
              <w:t>En el marco de lo dispuesto en el Decreto 2446 de 2018, a partir del 1 de marzo Fondo Colombia en Paz asumió el suministro de víveres secos y frescos a los ex miembros de las extintas FARC – EP; motivo por el cual la ARN, como unidad ejecutora, fue la responsable de la estructuración del proceso y la supervisión de los contratos de suministro que ampararon la entrega de víveres desde el 1 de marzo hasta el 24 de octubre de 2019.</w:t>
            </w:r>
          </w:p>
          <w:p w14:paraId="2ABEC1D5" w14:textId="77777777" w:rsidR="0029180F" w:rsidRPr="00B46A27" w:rsidRDefault="0029180F" w:rsidP="0029180F">
            <w:pPr>
              <w:rPr>
                <w:rFonts w:cstheme="minorHAnsi"/>
                <w:lang w:val="es-MX"/>
              </w:rPr>
            </w:pPr>
            <w:r w:rsidRPr="00B46A27">
              <w:rPr>
                <w:rFonts w:cstheme="minorHAnsi"/>
                <w:bCs/>
                <w:lang w:val="es-MX"/>
              </w:rPr>
              <w:t xml:space="preserve">Posteriormente, en el marco de la expedición del Decreto 1629 del 9 de septiembre de 2019 y entendiendo que la entrega de víveres hace parte de los suministros necesarios para adelantar el proceso de reincorporación, el suministro de víveres secos y frescos en los </w:t>
            </w:r>
            <w:r>
              <w:rPr>
                <w:rFonts w:cstheme="minorHAnsi"/>
                <w:bCs/>
                <w:lang w:val="es-MX"/>
              </w:rPr>
              <w:t xml:space="preserve">antiguos </w:t>
            </w:r>
            <w:r w:rsidRPr="00B46A27">
              <w:rPr>
                <w:rFonts w:cstheme="minorHAnsi"/>
                <w:bCs/>
                <w:lang w:val="es-MX"/>
              </w:rPr>
              <w:t xml:space="preserve">ETCR se ha realizado de manera </w:t>
            </w:r>
            <w:r w:rsidRPr="00B46A27">
              <w:rPr>
                <w:rFonts w:cstheme="minorHAnsi"/>
                <w:lang w:val="es-MX"/>
              </w:rPr>
              <w:t>articulada entre Fondo Colombia en Paz y la ARN, con el objeto de dar cumplimiento al mandato, consistente en la entrega de los suministros necesarios para adelantar el proceso de reincorporación, con lo que necesariamente se logra que la reincorporación a la vida civil sea un proceso de carácter integral y sostenible, contribuyendo a la paz, al orden público y la reincorporación.</w:t>
            </w:r>
          </w:p>
          <w:p w14:paraId="731EDEC5" w14:textId="77777777" w:rsidR="0029180F" w:rsidRDefault="0029180F" w:rsidP="0029180F">
            <w:pPr>
              <w:spacing w:after="150"/>
              <w:rPr>
                <w:rFonts w:cstheme="minorHAnsi"/>
              </w:rPr>
            </w:pPr>
          </w:p>
          <w:p w14:paraId="02552CF9" w14:textId="77777777" w:rsidR="0029180F" w:rsidRPr="00B46A27" w:rsidRDefault="0029180F" w:rsidP="0029180F">
            <w:pPr>
              <w:spacing w:after="150"/>
              <w:rPr>
                <w:rFonts w:cstheme="minorHAnsi"/>
              </w:rPr>
            </w:pPr>
            <w:r w:rsidRPr="00B46A27">
              <w:rPr>
                <w:rFonts w:cstheme="minorHAnsi"/>
              </w:rPr>
              <w:t>En tal sentido, la gestión contractual para el suministro de víveres durante la vigencia 2021 fue adelantada por Fondo Colombia en Paz, con los recursos asignados a la subcuenta de Reincorporación, de la cual la ARN es la entidad ejecutora.</w:t>
            </w:r>
          </w:p>
          <w:p w14:paraId="26A9B379" w14:textId="07A5342B" w:rsidR="002F1465" w:rsidRPr="00920919" w:rsidRDefault="0029180F" w:rsidP="0029180F">
            <w:pPr>
              <w:jc w:val="both"/>
              <w:rPr>
                <w:sz w:val="24"/>
                <w:szCs w:val="24"/>
              </w:rPr>
            </w:pPr>
            <w:r w:rsidRPr="00B46A27">
              <w:rPr>
                <w:rFonts w:cstheme="minorHAnsi"/>
              </w:rPr>
              <w:t xml:space="preserve">Dado que el contrato suscrito en la vigencia anterior tenía una duración inicial hasta el 30 de noviembre de 2020, fueron surtidos los trámites para efectos de realizar dos adiciones y prórrogas que permitieron extender la entrega de víveres hasta el 30 de abril de 2021, en las mismas condiciones en que se ha venido realizado. Adicionalmente, durante la vigencia 2021, con el propósito de garantizar la continuidad en el abastecimiento, a través de Fondo Colombia en Paz fue </w:t>
            </w:r>
            <w:r>
              <w:rPr>
                <w:rFonts w:cstheme="minorHAnsi"/>
              </w:rPr>
              <w:t xml:space="preserve">adelantada la convocatoria pública 006 de 2021, que derivó en la </w:t>
            </w:r>
            <w:r w:rsidRPr="00B46A27">
              <w:rPr>
                <w:rFonts w:cstheme="minorHAnsi"/>
              </w:rPr>
              <w:t>suscri</w:t>
            </w:r>
            <w:r>
              <w:rPr>
                <w:rFonts w:cstheme="minorHAnsi"/>
              </w:rPr>
              <w:t>pción d</w:t>
            </w:r>
            <w:r w:rsidRPr="00B46A27">
              <w:rPr>
                <w:rFonts w:cstheme="minorHAnsi"/>
              </w:rPr>
              <w:t>el contrato de suministro 217 de 2021 con la Unión Temporal FCP 2021, cuyo valor asciende hasta por la suma de $25.546.325.212 con el fin de amparar la entrega de víveres desde el 1 de mayo hasta el 23 de marzo de 2022.</w:t>
            </w:r>
          </w:p>
        </w:tc>
      </w:tr>
      <w:tr w:rsidR="002F1465" w:rsidRPr="00920919" w14:paraId="22A90E03" w14:textId="77777777" w:rsidTr="00F172EB">
        <w:tc>
          <w:tcPr>
            <w:tcW w:w="1726" w:type="dxa"/>
            <w:tcBorders>
              <w:top w:val="single" w:sz="4" w:space="0" w:color="0070C0"/>
              <w:left w:val="single" w:sz="4" w:space="0" w:color="0070C0"/>
              <w:bottom w:val="single" w:sz="4" w:space="0" w:color="0070C0"/>
            </w:tcBorders>
            <w:vAlign w:val="center"/>
          </w:tcPr>
          <w:p w14:paraId="3E8C2F5F" w14:textId="74C827B1" w:rsidR="002F1465" w:rsidRPr="00920919" w:rsidRDefault="002F1465" w:rsidP="002F1465">
            <w:pPr>
              <w:jc w:val="center"/>
              <w:rPr>
                <w:sz w:val="24"/>
                <w:szCs w:val="24"/>
              </w:rPr>
            </w:pPr>
            <w:r w:rsidRPr="00920919">
              <w:rPr>
                <w:noProof/>
                <w:lang w:eastAsia="es-CO"/>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79CC279" w14:textId="63CD962F" w:rsidR="002F1465" w:rsidRDefault="002F1465" w:rsidP="002F1465">
            <w:pPr>
              <w:jc w:val="both"/>
              <w:rPr>
                <w:color w:val="002060"/>
                <w:sz w:val="28"/>
                <w:szCs w:val="28"/>
              </w:rPr>
            </w:pPr>
            <w:r w:rsidRPr="00920919">
              <w:rPr>
                <w:color w:val="002060"/>
                <w:sz w:val="28"/>
                <w:szCs w:val="28"/>
              </w:rPr>
              <w:t>¿Quiénes se beneficiaron?</w:t>
            </w:r>
          </w:p>
          <w:p w14:paraId="384F7050" w14:textId="467F79A2" w:rsidR="002F1465" w:rsidRDefault="002F1465" w:rsidP="0048016F">
            <w:pPr>
              <w:jc w:val="both"/>
              <w:rPr>
                <w:sz w:val="24"/>
                <w:szCs w:val="24"/>
              </w:rPr>
            </w:pPr>
          </w:p>
          <w:p w14:paraId="782FBD71" w14:textId="77777777" w:rsidR="0048016F" w:rsidRPr="00541049" w:rsidRDefault="0048016F" w:rsidP="0048016F">
            <w:pPr>
              <w:jc w:val="both"/>
            </w:pPr>
            <w:r w:rsidRPr="00541049">
              <w:t>Se beneficiaron las 2.378 personas en reincorporación que se encuentran en los antiguos Espacios Territoriales de Capacitación y Reincorporación-ETCR.</w:t>
            </w:r>
          </w:p>
          <w:p w14:paraId="5A83A30B" w14:textId="77777777" w:rsidR="0048016F" w:rsidRPr="00541049" w:rsidRDefault="0048016F" w:rsidP="0048016F">
            <w:pPr>
              <w:jc w:val="both"/>
            </w:pPr>
          </w:p>
          <w:p w14:paraId="230219EB" w14:textId="0A56FEF3" w:rsidR="002F1465" w:rsidRPr="00920919" w:rsidRDefault="0048016F" w:rsidP="0048016F">
            <w:pPr>
              <w:jc w:val="both"/>
              <w:rPr>
                <w:sz w:val="24"/>
                <w:szCs w:val="24"/>
              </w:rPr>
            </w:pPr>
            <w:r w:rsidRPr="00541049">
              <w:t>En el suministro de víveres se benefician a 6.383 personas (5.049 adultos y 1.334 menores)</w:t>
            </w:r>
          </w:p>
        </w:tc>
      </w:tr>
      <w:tr w:rsidR="002F1465" w:rsidRPr="00920919" w14:paraId="144331A2" w14:textId="77777777" w:rsidTr="00F172EB">
        <w:tc>
          <w:tcPr>
            <w:tcW w:w="1726" w:type="dxa"/>
            <w:tcBorders>
              <w:top w:val="single" w:sz="4" w:space="0" w:color="0070C0"/>
              <w:left w:val="single" w:sz="4" w:space="0" w:color="0070C0"/>
              <w:bottom w:val="single" w:sz="4" w:space="0" w:color="0070C0"/>
            </w:tcBorders>
            <w:vAlign w:val="center"/>
          </w:tcPr>
          <w:p w14:paraId="0F9C7E9A" w14:textId="5BE52597" w:rsidR="002F1465" w:rsidRPr="00920919" w:rsidRDefault="002F1465" w:rsidP="002F1465">
            <w:pPr>
              <w:jc w:val="center"/>
              <w:rPr>
                <w:sz w:val="24"/>
                <w:szCs w:val="24"/>
              </w:rPr>
            </w:pPr>
            <w:r w:rsidRPr="00920919">
              <w:rPr>
                <w:noProof/>
                <w:lang w:eastAsia="es-CO"/>
              </w:rPr>
              <w:lastRenderedPageBreak/>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D7EDE8F" w14:textId="25740B24" w:rsidR="002F1465" w:rsidRPr="00920919" w:rsidRDefault="002F1465" w:rsidP="002F1465">
            <w:pPr>
              <w:jc w:val="both"/>
              <w:rPr>
                <w:color w:val="002060"/>
                <w:sz w:val="28"/>
                <w:szCs w:val="28"/>
              </w:rPr>
            </w:pPr>
            <w:r w:rsidRPr="00920919">
              <w:rPr>
                <w:color w:val="002060"/>
                <w:sz w:val="28"/>
                <w:szCs w:val="28"/>
              </w:rPr>
              <w:t xml:space="preserve">¿En qué </w:t>
            </w:r>
            <w:r w:rsidR="00294407" w:rsidRPr="00920919">
              <w:rPr>
                <w:color w:val="002060"/>
                <w:sz w:val="28"/>
                <w:szCs w:val="28"/>
              </w:rPr>
              <w:t>municipios</w:t>
            </w:r>
            <w:r w:rsidRPr="00920919">
              <w:rPr>
                <w:color w:val="002060"/>
                <w:sz w:val="28"/>
                <w:szCs w:val="28"/>
              </w:rPr>
              <w:t xml:space="preserve"> desarrollamos la acción?</w:t>
            </w:r>
          </w:p>
          <w:p w14:paraId="39CDF2B4" w14:textId="77777777" w:rsidR="00F17A86" w:rsidRDefault="005867FD" w:rsidP="0048016F">
            <w:pPr>
              <w:jc w:val="both"/>
              <w:rPr>
                <w:sz w:val="24"/>
                <w:szCs w:val="24"/>
              </w:rPr>
            </w:pPr>
            <w:r w:rsidRPr="00920919">
              <w:rPr>
                <w:sz w:val="24"/>
                <w:szCs w:val="24"/>
              </w:rPr>
              <w:t xml:space="preserve"> </w:t>
            </w:r>
          </w:p>
          <w:p w14:paraId="01B19238" w14:textId="130B7681" w:rsidR="002F1465" w:rsidRPr="00920919" w:rsidRDefault="0048016F" w:rsidP="0048016F">
            <w:pPr>
              <w:jc w:val="both"/>
              <w:rPr>
                <w:sz w:val="24"/>
                <w:szCs w:val="24"/>
              </w:rPr>
            </w:pPr>
            <w:r>
              <w:rPr>
                <w:rFonts w:cs="Arial"/>
                <w:i/>
                <w:sz w:val="24"/>
                <w:szCs w:val="24"/>
                <w:lang w:val="es-ES"/>
              </w:rPr>
              <w:t>Se ha desarrollado en los 24 lugares donde de adelanta el proceso de reincorporación, antiguos Espacios de Capacitación y Reincorporación donde se encuentran ubicados los ex integrantes de FARC-EP.</w:t>
            </w:r>
          </w:p>
        </w:tc>
      </w:tr>
      <w:tr w:rsidR="00882CA4" w:rsidRPr="00920919" w14:paraId="52D5C335" w14:textId="77777777" w:rsidTr="00F172EB">
        <w:tc>
          <w:tcPr>
            <w:tcW w:w="1726" w:type="dxa"/>
            <w:tcBorders>
              <w:top w:val="single" w:sz="4" w:space="0" w:color="0070C0"/>
              <w:left w:val="single" w:sz="4" w:space="0" w:color="0070C0"/>
              <w:bottom w:val="single" w:sz="4" w:space="0" w:color="0070C0"/>
            </w:tcBorders>
            <w:vAlign w:val="center"/>
          </w:tcPr>
          <w:p w14:paraId="2191CC23" w14:textId="0344F3E2" w:rsidR="00882CA4" w:rsidRPr="00920919" w:rsidRDefault="00882CA4" w:rsidP="002F1465">
            <w:pPr>
              <w:jc w:val="center"/>
            </w:pPr>
            <w:r w:rsidRPr="00920919">
              <w:rPr>
                <w:noProof/>
                <w:color w:val="3366CC"/>
                <w:lang w:eastAsia="es-CO"/>
              </w:rPr>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0A15B720" w14:textId="54944695" w:rsidR="00882CA4" w:rsidRPr="00920919" w:rsidRDefault="00882CA4" w:rsidP="00882CA4">
            <w:pPr>
              <w:jc w:val="both"/>
              <w:rPr>
                <w:color w:val="002060"/>
                <w:sz w:val="28"/>
                <w:szCs w:val="28"/>
              </w:rPr>
            </w:pPr>
            <w:r w:rsidRPr="00920919">
              <w:rPr>
                <w:color w:val="002060"/>
                <w:sz w:val="28"/>
                <w:szCs w:val="28"/>
              </w:rPr>
              <w:t>¿Qué desafíos y retos tuvimos para el cumplimiento?</w:t>
            </w:r>
          </w:p>
          <w:p w14:paraId="735F3E1E" w14:textId="77777777" w:rsidR="0048016F" w:rsidRDefault="0048016F" w:rsidP="0048016F">
            <w:pPr>
              <w:rPr>
                <w:rFonts w:cstheme="minorHAnsi"/>
              </w:rPr>
            </w:pPr>
          </w:p>
          <w:p w14:paraId="6211F2FB" w14:textId="691F5DD2" w:rsidR="0048016F" w:rsidRPr="00B46A27" w:rsidRDefault="0048016F" w:rsidP="0048016F">
            <w:pPr>
              <w:rPr>
                <w:rFonts w:cstheme="minorHAnsi"/>
              </w:rPr>
            </w:pPr>
            <w:r w:rsidRPr="00B46A27">
              <w:rPr>
                <w:rFonts w:cstheme="minorHAnsi"/>
              </w:rPr>
              <w:t xml:space="preserve">Desde el inicio de la emergencia sanitaria con ocasión de la aparición de casos de COVID 19 en nuestro país se implementaron protocolos de bioseguridad para proveedores y contratistas de actividades relacionadas con la administración tales como suministro de víveres, mantenimiento de plantas eléctricas, suministro de gas, recolección de residuos, mantenimiento a PTAP, entre otras, por parte de empresas contratistas y proveedores de los A-ETCR, cuya supervisión y cumplimiento se encuentra a cargo del personal de administradores. Dichos protocolos se han venido ajustando y aplicando de acuerdo a los lineamientos emitidos por la autoridad sanitaria, y continúan vigentes como herramienta de prevención de la pandemia en las actividades de administración de los espacios.  </w:t>
            </w:r>
          </w:p>
          <w:p w14:paraId="65A36E82" w14:textId="77777777" w:rsidR="0048016F" w:rsidRPr="00B46A27" w:rsidRDefault="0048016F" w:rsidP="0048016F">
            <w:pPr>
              <w:rPr>
                <w:rFonts w:cstheme="minorHAnsi"/>
              </w:rPr>
            </w:pPr>
            <w:r w:rsidRPr="00B46A27">
              <w:rPr>
                <w:rFonts w:cstheme="minorHAnsi"/>
              </w:rPr>
              <w:t>Adicionalmente durante la vigencia 2021 se ejecutaron las siguientes actividades:</w:t>
            </w:r>
          </w:p>
          <w:p w14:paraId="49D35D93" w14:textId="77777777" w:rsidR="0048016F" w:rsidRPr="00B46A27" w:rsidRDefault="0048016F" w:rsidP="00631DF4">
            <w:pPr>
              <w:pStyle w:val="Prrafodelista"/>
              <w:numPr>
                <w:ilvl w:val="0"/>
                <w:numId w:val="11"/>
              </w:numPr>
              <w:spacing w:after="200" w:line="276" w:lineRule="auto"/>
              <w:rPr>
                <w:rFonts w:cstheme="minorHAnsi"/>
              </w:rPr>
            </w:pPr>
            <w:r w:rsidRPr="00B46A27">
              <w:rPr>
                <w:rFonts w:cstheme="minorHAnsi"/>
              </w:rPr>
              <w:t xml:space="preserve">Entrega en la vigencia 2021 de 26.960 kit personales de prevención y bioseguridad, 104 kit de bioseguridad para cuidadores y 104 kit para desinfección de zonas comunes, distribuidos en los </w:t>
            </w:r>
            <w:r>
              <w:rPr>
                <w:rFonts w:cstheme="minorHAnsi"/>
              </w:rPr>
              <w:t xml:space="preserve">antiguos </w:t>
            </w:r>
            <w:r w:rsidRPr="00B46A27">
              <w:rPr>
                <w:rFonts w:cstheme="minorHAnsi"/>
              </w:rPr>
              <w:t xml:space="preserve">ETCR con el fin de continuar afrontando la continuidad de la emergencia sanitaria. </w:t>
            </w:r>
          </w:p>
          <w:p w14:paraId="4CB99CE7" w14:textId="77777777" w:rsidR="0048016F" w:rsidRPr="00B46A27" w:rsidRDefault="0048016F" w:rsidP="00631DF4">
            <w:pPr>
              <w:pStyle w:val="Prrafodelista"/>
              <w:numPr>
                <w:ilvl w:val="0"/>
                <w:numId w:val="11"/>
              </w:numPr>
              <w:spacing w:after="200" w:line="276" w:lineRule="auto"/>
              <w:rPr>
                <w:rFonts w:cstheme="minorHAnsi"/>
              </w:rPr>
            </w:pPr>
            <w:r w:rsidRPr="00B46A27">
              <w:rPr>
                <w:rFonts w:cstheme="minorHAnsi"/>
              </w:rPr>
              <w:t xml:space="preserve">Por parte de las administraciones de los </w:t>
            </w:r>
            <w:r>
              <w:rPr>
                <w:rFonts w:cstheme="minorHAnsi"/>
              </w:rPr>
              <w:t xml:space="preserve">antiguos </w:t>
            </w:r>
            <w:r w:rsidRPr="00B46A27">
              <w:rPr>
                <w:rFonts w:cstheme="minorHAnsi"/>
              </w:rPr>
              <w:t>ETCR se realizaron jornadas de divulgación de información y material con contenido sobre temas importantes relacionados con el COVID 19, y medidas preventivas individuales y colectivas emitidas por la autoridad sanitaria, con el fin de lograr una cultura de prevención frente a la emergencia sanitaria en la población en proceso de reincorporación y sus familias.</w:t>
            </w:r>
          </w:p>
          <w:p w14:paraId="25A5DE6F" w14:textId="77777777" w:rsidR="00F17A86" w:rsidRDefault="0048016F" w:rsidP="00F17A86">
            <w:pPr>
              <w:pStyle w:val="Prrafodelista"/>
              <w:numPr>
                <w:ilvl w:val="0"/>
                <w:numId w:val="11"/>
              </w:numPr>
              <w:spacing w:after="200" w:line="276" w:lineRule="auto"/>
              <w:rPr>
                <w:rFonts w:cstheme="minorHAnsi"/>
              </w:rPr>
            </w:pPr>
            <w:r w:rsidRPr="00B46A27">
              <w:rPr>
                <w:rFonts w:cstheme="minorHAnsi"/>
              </w:rPr>
              <w:t xml:space="preserve">En materia de adecuación de zonas de distanciamiento social preventivo en los </w:t>
            </w:r>
            <w:r>
              <w:rPr>
                <w:rFonts w:cstheme="minorHAnsi"/>
              </w:rPr>
              <w:t xml:space="preserve">antiguos </w:t>
            </w:r>
            <w:r w:rsidRPr="00B46A27">
              <w:rPr>
                <w:rFonts w:cstheme="minorHAnsi"/>
              </w:rPr>
              <w:t xml:space="preserve">ETCR, las cuales tuvieron como objetivo posibilitar el aislamiento a personas con síntomas o diagnóstico positivo para COVID 19, durante la vigencia 2021 se terminó la habilitación de 21 zonas de distanciamiento con la infraestructura instalada a través de adecuaciones y reparaciones locativas, en los siguientes espacios: 1- La Variante; 2-Pondores; 3- La Plancha; 4- Carrizal; 5- Llanogrande; 6- Brisas; 7- El Ceral; 8- El Oso; 9- Mesetas; 10- Caldono; 11- Colinas; 12: La Fila; 13. La Pradera; 14. Charras. 15. Aguabonita . 16. Tierragrata; 17. Miravalle; 18. La Cooperativa 19. Monterredondo y 20. Yarí y 21. El Estrecho. La zona de </w:t>
            </w:r>
            <w:r w:rsidRPr="00B46A27">
              <w:rPr>
                <w:rFonts w:cstheme="minorHAnsi"/>
              </w:rPr>
              <w:lastRenderedPageBreak/>
              <w:t>distanciamiento ETCR Caño Indio por lineamientos del colectivo no se llevó a cabo, en atención a la ausencia de oferta local de proveedores que estuvieran en capacidad de ejecutar las adecuaciones requeridas</w:t>
            </w:r>
            <w:r w:rsidR="00F17A86">
              <w:rPr>
                <w:rFonts w:cstheme="minorHAnsi"/>
              </w:rPr>
              <w:t>.</w:t>
            </w:r>
          </w:p>
          <w:p w14:paraId="7151311B" w14:textId="6966BE78" w:rsidR="00882CA4" w:rsidRPr="00F17A86" w:rsidRDefault="0048016F" w:rsidP="00F17A86">
            <w:pPr>
              <w:pStyle w:val="Prrafodelista"/>
              <w:numPr>
                <w:ilvl w:val="0"/>
                <w:numId w:val="11"/>
              </w:numPr>
              <w:spacing w:after="200" w:line="276" w:lineRule="auto"/>
              <w:rPr>
                <w:rFonts w:cstheme="minorHAnsi"/>
              </w:rPr>
            </w:pPr>
            <w:r w:rsidRPr="00F17A86">
              <w:rPr>
                <w:rFonts w:cstheme="minorHAnsi"/>
                <w:lang w:eastAsia="es-ES" w:bidi="es-ES"/>
              </w:rPr>
              <w:t xml:space="preserve">Durante actividades especiales como el traslado de las personas en proceso de reincorporación desde el antiguos ETCR Yarí Macarena hacia el predio San Jose Municipio El Doncello Caquetá, se realizó la entrega de elementos para garantizar las medidas de bioseguridad tales como mascarillas quirúrgicas y gel anti-bacterial, contribuyendo a la prevención y minimizando el riesgo de contagio en este evento. </w:t>
            </w:r>
          </w:p>
        </w:tc>
      </w:tr>
    </w:tbl>
    <w:p w14:paraId="654DCFC0" w14:textId="566293F2" w:rsidR="00FB41AD" w:rsidRPr="00920919" w:rsidRDefault="00FB41AD" w:rsidP="005965DF">
      <w:pPr>
        <w:spacing w:after="0" w:line="240" w:lineRule="auto"/>
        <w:jc w:val="both"/>
        <w:rPr>
          <w:sz w:val="24"/>
          <w:szCs w:val="24"/>
        </w:rPr>
      </w:pPr>
    </w:p>
    <w:p w14:paraId="37CC87BF" w14:textId="27804C36" w:rsidR="0048016F" w:rsidRPr="0048016F" w:rsidRDefault="0048016F" w:rsidP="0048016F">
      <w:pPr>
        <w:spacing w:after="0" w:line="240" w:lineRule="auto"/>
        <w:jc w:val="both"/>
        <w:rPr>
          <w:b/>
          <w:i/>
          <w:sz w:val="32"/>
          <w:szCs w:val="24"/>
        </w:rPr>
      </w:pPr>
      <w:r w:rsidRPr="0048016F">
        <w:rPr>
          <w:b/>
          <w:i/>
          <w:sz w:val="32"/>
          <w:szCs w:val="24"/>
        </w:rPr>
        <w:t xml:space="preserve">Acción </w:t>
      </w:r>
      <w:r>
        <w:rPr>
          <w:b/>
          <w:i/>
          <w:sz w:val="32"/>
          <w:szCs w:val="24"/>
        </w:rPr>
        <w:t>2</w:t>
      </w:r>
    </w:p>
    <w:p w14:paraId="485A39DD" w14:textId="77777777" w:rsidR="00623C90" w:rsidRDefault="00623C90" w:rsidP="00623C90">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623C90" w14:paraId="16E1D81D"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215988D" w14:textId="77777777" w:rsidR="00623C90" w:rsidRDefault="00623C90">
            <w:pPr>
              <w:jc w:val="center"/>
              <w:rPr>
                <w:sz w:val="36"/>
                <w:szCs w:val="36"/>
              </w:rPr>
            </w:pPr>
            <w:r>
              <w:rPr>
                <w:sz w:val="36"/>
                <w:szCs w:val="36"/>
              </w:rPr>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539504B1" w14:textId="2AC8CA61" w:rsidR="00623C90" w:rsidRDefault="007D5F9E">
            <w:pPr>
              <w:jc w:val="both"/>
              <w:rPr>
                <w:sz w:val="36"/>
                <w:szCs w:val="36"/>
              </w:rPr>
            </w:pPr>
            <w:r w:rsidRPr="008562C2">
              <w:rPr>
                <w:sz w:val="24"/>
                <w:szCs w:val="24"/>
              </w:rPr>
              <w:t>En el Marco del Fin del Conflicto: a) Acciones de coordinación entre entidades. 2. Establecer necesidades para adelantar actividades. b) Acciones para las comunidades aledañas. c) Trámites administrativos para adquisición de predios con ANT. d) Entrega de listados de acreditados FARC por la OACP a la ARN. e) Censo socioeconómico para facilitar el proceso de reincorporación integral de FARC-EP.</w:t>
            </w:r>
          </w:p>
        </w:tc>
      </w:tr>
      <w:tr w:rsidR="00623C90" w14:paraId="4CDC2818"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712C93E5" w14:textId="77777777" w:rsidR="00623C90" w:rsidRDefault="00623C90">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6329D58" w14:textId="77777777" w:rsidR="00623C90" w:rsidRDefault="00623C90">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6ECB1B32" w14:textId="77777777" w:rsidR="00623C90" w:rsidRDefault="00623C90">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0DF5264" w14:textId="77777777" w:rsidR="00623C90" w:rsidRDefault="00623C90">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1268784F" w14:textId="77777777" w:rsidR="00623C90" w:rsidRDefault="00623C90">
            <w:pPr>
              <w:jc w:val="center"/>
              <w:rPr>
                <w:sz w:val="36"/>
                <w:szCs w:val="36"/>
                <w:highlight w:val="yellow"/>
              </w:rPr>
            </w:pPr>
            <w:r>
              <w:rPr>
                <w:sz w:val="24"/>
                <w:szCs w:val="24"/>
              </w:rPr>
              <w:t>Sector</w:t>
            </w:r>
          </w:p>
        </w:tc>
      </w:tr>
      <w:tr w:rsidR="007D5F9E" w14:paraId="07174E6A" w14:textId="77777777" w:rsidTr="007D5F9E">
        <w:tc>
          <w:tcPr>
            <w:tcW w:w="2529" w:type="dxa"/>
            <w:tcBorders>
              <w:top w:val="single" w:sz="4" w:space="0" w:color="0070C0"/>
              <w:left w:val="single" w:sz="4" w:space="0" w:color="0070C0"/>
              <w:bottom w:val="single" w:sz="4" w:space="0" w:color="0070C0"/>
              <w:right w:val="single" w:sz="4" w:space="0" w:color="0070C0"/>
            </w:tcBorders>
            <w:vAlign w:val="center"/>
            <w:hideMark/>
          </w:tcPr>
          <w:p w14:paraId="1DED84C2" w14:textId="2FB35B4C" w:rsidR="007D5F9E" w:rsidRDefault="007D5F9E" w:rsidP="007D5F9E">
            <w:pPr>
              <w:jc w:val="center"/>
              <w:rPr>
                <w:sz w:val="24"/>
                <w:szCs w:val="24"/>
              </w:rPr>
            </w:pPr>
            <w:r w:rsidRPr="009B2DC8">
              <w:rPr>
                <w:rFonts w:cs="Arial"/>
              </w:rPr>
              <w:t xml:space="preserve">Porcentaje de integrantes de </w:t>
            </w:r>
            <w:r>
              <w:rPr>
                <w:rFonts w:cs="Arial"/>
              </w:rPr>
              <w:t>FARC</w:t>
            </w:r>
            <w:r w:rsidRPr="009B2DC8">
              <w:rPr>
                <w:rFonts w:cs="Arial"/>
              </w:rPr>
              <w:t>- EP acreditados con proyecto productivo individual o colectivo viabilizado con apoyo económico entregado</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5D852CD3" w14:textId="77777777" w:rsidR="007D5F9E" w:rsidRDefault="007D5F9E" w:rsidP="007D5F9E">
            <w:pPr>
              <w:rPr>
                <w:sz w:val="24"/>
                <w:szCs w:val="24"/>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59157324" w14:textId="13B61778" w:rsidR="007D5F9E" w:rsidRDefault="007D5F9E" w:rsidP="007D5F9E">
            <w:pPr>
              <w:jc w:val="center"/>
              <w:rPr>
                <w:sz w:val="24"/>
                <w:szCs w:val="24"/>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26EF19C6" w14:textId="15308591" w:rsidR="007D5F9E" w:rsidRDefault="007D5F9E" w:rsidP="007D5F9E">
            <w:pPr>
              <w:jc w:val="center"/>
              <w:rPr>
                <w:sz w:val="24"/>
                <w:szCs w:val="24"/>
              </w:rPr>
            </w:pPr>
            <w:r>
              <w:t>2018</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3DBC97C6" w14:textId="1E541ABB" w:rsidR="007D5F9E" w:rsidRDefault="007D5F9E" w:rsidP="007D5F9E">
            <w:pPr>
              <w:jc w:val="center"/>
              <w:rPr>
                <w:sz w:val="24"/>
                <w:szCs w:val="24"/>
              </w:rPr>
            </w:pPr>
            <w:r>
              <w:t>Presidencia</w:t>
            </w:r>
          </w:p>
        </w:tc>
      </w:tr>
      <w:tr w:rsidR="007D5F9E" w14:paraId="472F3FD9" w14:textId="77777777" w:rsidTr="007D5F9E">
        <w:tc>
          <w:tcPr>
            <w:tcW w:w="2529" w:type="dxa"/>
            <w:tcBorders>
              <w:top w:val="single" w:sz="4" w:space="0" w:color="0070C0"/>
              <w:left w:val="single" w:sz="4" w:space="0" w:color="0070C0"/>
              <w:bottom w:val="single" w:sz="4" w:space="0" w:color="0070C0"/>
              <w:right w:val="single" w:sz="4" w:space="0" w:color="0070C0"/>
            </w:tcBorders>
            <w:vAlign w:val="center"/>
          </w:tcPr>
          <w:p w14:paraId="5A535EFB" w14:textId="28D08D72" w:rsidR="007D5F9E" w:rsidRPr="009B2DC8" w:rsidRDefault="007D5F9E" w:rsidP="007D5F9E">
            <w:pPr>
              <w:jc w:val="center"/>
              <w:rPr>
                <w:rFonts w:cs="Arial"/>
              </w:rPr>
            </w:pPr>
            <w:r w:rsidRPr="009B2DC8">
              <w:rPr>
                <w:rFonts w:cs="Arial"/>
              </w:rPr>
              <w:t>Planes y programas de reincorporación social y económica implementados</w:t>
            </w:r>
          </w:p>
        </w:tc>
        <w:tc>
          <w:tcPr>
            <w:tcW w:w="1821" w:type="dxa"/>
            <w:tcBorders>
              <w:top w:val="single" w:sz="4" w:space="0" w:color="0070C0"/>
              <w:left w:val="single" w:sz="4" w:space="0" w:color="0070C0"/>
              <w:bottom w:val="single" w:sz="4" w:space="0" w:color="0070C0"/>
              <w:right w:val="single" w:sz="4" w:space="0" w:color="0070C0"/>
            </w:tcBorders>
            <w:vAlign w:val="center"/>
          </w:tcPr>
          <w:p w14:paraId="4B6F9B73" w14:textId="5CE01718" w:rsidR="007D5F9E" w:rsidRDefault="007D5F9E" w:rsidP="007D5F9E">
            <w:pPr>
              <w:rPr>
                <w:sz w:val="24"/>
                <w:szCs w:val="24"/>
                <w:highlight w:val="yellow"/>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13AB6392" w14:textId="6FCC3BEF" w:rsidR="007D5F9E" w:rsidRDefault="007D5F9E" w:rsidP="007D5F9E">
            <w:pPr>
              <w:jc w:val="center"/>
              <w:rPr>
                <w:sz w:val="24"/>
                <w:szCs w:val="24"/>
                <w:highlight w:val="yellow"/>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311794E2" w14:textId="09242C2D" w:rsidR="007D5F9E" w:rsidRDefault="007D5F9E" w:rsidP="007D5F9E">
            <w:pPr>
              <w:jc w:val="center"/>
              <w:rPr>
                <w:sz w:val="24"/>
                <w:szCs w:val="24"/>
                <w:highlight w:val="yellow"/>
              </w:rPr>
            </w:pPr>
            <w:r>
              <w:t>2026</w:t>
            </w:r>
          </w:p>
        </w:tc>
        <w:tc>
          <w:tcPr>
            <w:tcW w:w="2418" w:type="dxa"/>
            <w:tcBorders>
              <w:top w:val="single" w:sz="4" w:space="0" w:color="0070C0"/>
              <w:left w:val="single" w:sz="4" w:space="0" w:color="0070C0"/>
              <w:bottom w:val="single" w:sz="4" w:space="0" w:color="0070C0"/>
              <w:right w:val="single" w:sz="4" w:space="0" w:color="0070C0"/>
            </w:tcBorders>
            <w:vAlign w:val="center"/>
          </w:tcPr>
          <w:p w14:paraId="70B76875" w14:textId="526FC31E" w:rsidR="007D5F9E" w:rsidRDefault="007D5F9E" w:rsidP="007D5F9E">
            <w:pPr>
              <w:jc w:val="center"/>
              <w:rPr>
                <w:sz w:val="24"/>
                <w:szCs w:val="24"/>
                <w:highlight w:val="yellow"/>
              </w:rPr>
            </w:pPr>
            <w:r>
              <w:t>Presidencia</w:t>
            </w:r>
          </w:p>
        </w:tc>
      </w:tr>
    </w:tbl>
    <w:p w14:paraId="6D8B7520" w14:textId="77777777" w:rsidR="00623C90" w:rsidRDefault="00623C90" w:rsidP="00623C90">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7097"/>
      </w:tblGrid>
      <w:tr w:rsidR="00623C90" w14:paraId="7BEC43BC" w14:textId="77777777" w:rsidTr="00623C90">
        <w:tc>
          <w:tcPr>
            <w:tcW w:w="1726" w:type="dxa"/>
            <w:tcBorders>
              <w:top w:val="single" w:sz="4" w:space="0" w:color="0070C0"/>
              <w:left w:val="single" w:sz="4" w:space="0" w:color="0070C0"/>
              <w:bottom w:val="single" w:sz="4" w:space="0" w:color="0070C0"/>
              <w:right w:val="nil"/>
            </w:tcBorders>
            <w:vAlign w:val="center"/>
            <w:hideMark/>
          </w:tcPr>
          <w:p w14:paraId="1A192F4F" w14:textId="7341FDE8" w:rsidR="00623C90" w:rsidRDefault="00623C90">
            <w:pPr>
              <w:jc w:val="center"/>
              <w:rPr>
                <w:sz w:val="24"/>
                <w:szCs w:val="24"/>
              </w:rPr>
            </w:pPr>
            <w:r>
              <w:rPr>
                <w:noProof/>
                <w:lang w:eastAsia="es-CO"/>
              </w:rPr>
              <w:drawing>
                <wp:inline distT="0" distB="0" distL="0" distR="0" wp14:anchorId="79A30E04" wp14:editId="630288AB">
                  <wp:extent cx="771525" cy="933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5338A5B7" w14:textId="77777777" w:rsidR="00623C90" w:rsidRDefault="00623C90">
            <w:pPr>
              <w:jc w:val="both"/>
              <w:rPr>
                <w:color w:val="002060"/>
                <w:sz w:val="28"/>
                <w:szCs w:val="28"/>
              </w:rPr>
            </w:pPr>
            <w:r>
              <w:rPr>
                <w:color w:val="002060"/>
                <w:sz w:val="28"/>
                <w:szCs w:val="28"/>
              </w:rPr>
              <w:t>¿Cómo lo hicimos?</w:t>
            </w:r>
          </w:p>
          <w:p w14:paraId="340A53A5" w14:textId="77777777" w:rsidR="007D5F9E" w:rsidRDefault="007D5F9E" w:rsidP="007D5F9E">
            <w:pPr>
              <w:ind w:left="-282" w:right="529" w:firstLine="282"/>
              <w:jc w:val="both"/>
              <w:rPr>
                <w:i/>
              </w:rPr>
            </w:pPr>
          </w:p>
          <w:p w14:paraId="0B37A5E1" w14:textId="77777777" w:rsidR="007D5F9E" w:rsidRPr="001E2BA1" w:rsidRDefault="007D5F9E" w:rsidP="00631DF4">
            <w:pPr>
              <w:pStyle w:val="Prrafodelista"/>
              <w:numPr>
                <w:ilvl w:val="0"/>
                <w:numId w:val="16"/>
              </w:numPr>
              <w:ind w:left="423"/>
              <w:rPr>
                <w:rFonts w:cstheme="minorHAnsi"/>
                <w:b/>
                <w:u w:val="single"/>
              </w:rPr>
            </w:pPr>
            <w:r w:rsidRPr="001E2BA1">
              <w:rPr>
                <w:rFonts w:cstheme="minorHAnsi"/>
                <w:b/>
                <w:u w:val="single"/>
              </w:rPr>
              <w:t>Proyectos productivos individuales o colectivo viabilizados con apoyo económico entregado.</w:t>
            </w:r>
          </w:p>
          <w:p w14:paraId="70E36068" w14:textId="77777777" w:rsidR="007D5F9E" w:rsidRDefault="007D5F9E" w:rsidP="007D5F9E">
            <w:pPr>
              <w:ind w:left="360"/>
              <w:rPr>
                <w:rFonts w:cstheme="minorHAnsi"/>
              </w:rPr>
            </w:pPr>
          </w:p>
          <w:p w14:paraId="5DF67469" w14:textId="77777777" w:rsidR="007D5F9E" w:rsidRPr="00937A17" w:rsidRDefault="007D5F9E" w:rsidP="007D5F9E">
            <w:pPr>
              <w:pStyle w:val="Default"/>
              <w:rPr>
                <w:rFonts w:asciiTheme="minorHAnsi" w:hAnsiTheme="minorHAnsi" w:cstheme="minorHAnsi"/>
                <w:color w:val="auto"/>
                <w:sz w:val="22"/>
                <w:szCs w:val="22"/>
                <w:lang w:eastAsia="en-US"/>
              </w:rPr>
            </w:pPr>
            <w:r w:rsidRPr="00937A17">
              <w:rPr>
                <w:rFonts w:asciiTheme="minorHAnsi" w:hAnsiTheme="minorHAnsi" w:cstheme="minorHAnsi"/>
                <w:b/>
                <w:color w:val="auto"/>
                <w:sz w:val="22"/>
                <w:szCs w:val="22"/>
                <w:lang w:eastAsia="en-US"/>
              </w:rPr>
              <w:t>Artículo 13: Proyectos productivos colectivos.</w:t>
            </w:r>
            <w:r w:rsidRPr="00937A17">
              <w:rPr>
                <w:rFonts w:asciiTheme="minorHAnsi" w:hAnsiTheme="minorHAnsi" w:cstheme="minorHAnsi"/>
                <w:color w:val="auto"/>
                <w:sz w:val="22"/>
                <w:szCs w:val="22"/>
                <w:lang w:eastAsia="en-US"/>
              </w:rPr>
              <w:t xml:space="preserve"> Los recursos correspondientes a las personas que decidan y autoricen girar los recursos que le corresponden para participar en proyectos colectivos a través de ECOMUN, que hayan sido identificados y viabilizados, serán transferidos por el Gobierno Nacional a ECOMUN, a más tardar treinta días (30) después de </w:t>
            </w:r>
            <w:r w:rsidRPr="00937A17">
              <w:rPr>
                <w:rFonts w:asciiTheme="minorHAnsi" w:hAnsiTheme="minorHAnsi" w:cstheme="minorHAnsi"/>
                <w:color w:val="auto"/>
                <w:sz w:val="22"/>
                <w:szCs w:val="22"/>
                <w:lang w:eastAsia="en-US"/>
              </w:rPr>
              <w:lastRenderedPageBreak/>
              <w:t>verificada la viabilidad de cada proyecto por el CNR. El CNR realizará la viabilización de los proyectos con la mayor celeridad posible. Para los efectos de la realización de los programas y proyectos colectivos por los cuales hayan optado los integrantes de las FARC-EP~ ECOMUN constituirá por una sola vez un Fondo para su ejecución, previa viabilidad verificada por el CNR. El Valor del Fondo dependerá del número total de asignaciones de los ex integrantes de las FARC-EP que decidan formar parte de ECOMUN.</w:t>
            </w:r>
          </w:p>
          <w:p w14:paraId="52DCB915" w14:textId="77777777" w:rsidR="007D5F9E" w:rsidRPr="00937A17" w:rsidRDefault="007D5F9E" w:rsidP="007D5F9E">
            <w:pPr>
              <w:pStyle w:val="Default"/>
              <w:rPr>
                <w:rFonts w:asciiTheme="minorHAnsi" w:hAnsiTheme="minorHAnsi" w:cstheme="minorHAnsi"/>
                <w:color w:val="auto"/>
                <w:sz w:val="22"/>
                <w:szCs w:val="22"/>
                <w:lang w:eastAsia="en-US"/>
              </w:rPr>
            </w:pPr>
            <w:r w:rsidRPr="00937A17">
              <w:rPr>
                <w:rFonts w:asciiTheme="minorHAnsi" w:hAnsiTheme="minorHAnsi" w:cstheme="minorHAnsi"/>
                <w:b/>
                <w:color w:val="auto"/>
                <w:sz w:val="22"/>
                <w:szCs w:val="22"/>
                <w:lang w:eastAsia="en-US"/>
              </w:rPr>
              <w:t xml:space="preserve"> </w:t>
            </w:r>
          </w:p>
          <w:p w14:paraId="78B54BC4" w14:textId="77777777" w:rsidR="007D5F9E" w:rsidRPr="00DE6023" w:rsidRDefault="007D5F9E" w:rsidP="007D5F9E">
            <w:pPr>
              <w:rPr>
                <w:rFonts w:cstheme="minorHAnsi"/>
              </w:rPr>
            </w:pPr>
            <w:r w:rsidRPr="00DE6023">
              <w:rPr>
                <w:rFonts w:cstheme="minorHAnsi"/>
                <w:b/>
              </w:rPr>
              <w:t>Artícul</w:t>
            </w:r>
            <w:r>
              <w:rPr>
                <w:rFonts w:cstheme="minorHAnsi"/>
                <w:b/>
              </w:rPr>
              <w:t xml:space="preserve">o </w:t>
            </w:r>
            <w:r w:rsidRPr="00DE6023">
              <w:rPr>
                <w:rFonts w:cstheme="minorHAnsi"/>
                <w:b/>
              </w:rPr>
              <w:t>14. Proyectos productivos o de vivienda de carácter individual</w:t>
            </w:r>
            <w:r w:rsidRPr="00DE6023">
              <w:rPr>
                <w:rFonts w:cstheme="minorHAnsi"/>
              </w:rPr>
              <w:t>. Previa verificación de su viabilidad por la ARN, podrán aprobarse proyectos individuales de carácter productivo para adquisición o construcción o mejoramiento o saneamiento de vivienda. Se aprobaron 8 proyectos individuales para adquisición, construcción, mejoramiento o saneamiento de vivienda por un valor de $64.000.000 a 8 beneficiarios.</w:t>
            </w:r>
          </w:p>
          <w:p w14:paraId="5E28A90B" w14:textId="77777777" w:rsidR="007D5F9E" w:rsidRDefault="007D5F9E" w:rsidP="007D5F9E"/>
          <w:p w14:paraId="58E9FB2A" w14:textId="77777777" w:rsidR="007D5F9E" w:rsidRPr="00217427" w:rsidRDefault="007D5F9E" w:rsidP="007D5F9E">
            <w:r w:rsidRPr="00217427">
              <w:t xml:space="preserve">Desde 2018 a </w:t>
            </w:r>
            <w:r>
              <w:t>31 de marzo de 2021,</w:t>
            </w:r>
            <w:r w:rsidRPr="00217427">
              <w:t xml:space="preserve"> se tiene un total de 7.823 personas beneficiadas (1.949 mujeres, 5.874 hombres) de los cuales 1.265 integran un grupo étnico (916 indígenas, 336 afrodescendientes, 11 palenqueros, 1 raizal y 1 gitano). Lo anterior, con el desembolso de 3.875 proyectos productivos (3.780 individuales y 95 colectivos) por un valor total de $62.567.839.567.</w:t>
            </w:r>
          </w:p>
          <w:p w14:paraId="235550E1" w14:textId="77777777" w:rsidR="007D5F9E" w:rsidRDefault="007D5F9E" w:rsidP="007D5F9E">
            <w:pPr>
              <w:ind w:left="360"/>
              <w:rPr>
                <w:rFonts w:cstheme="minorHAnsi"/>
              </w:rPr>
            </w:pPr>
          </w:p>
          <w:p w14:paraId="1B0C7A51" w14:textId="77777777" w:rsidR="007D5F9E" w:rsidRPr="0000059D" w:rsidRDefault="007D5F9E" w:rsidP="007D5F9E">
            <w:pPr>
              <w:rPr>
                <w:rFonts w:cstheme="minorHAnsi"/>
              </w:rPr>
            </w:pPr>
            <w:r w:rsidRPr="0000059D">
              <w:rPr>
                <w:rFonts w:cstheme="minorHAnsi"/>
              </w:rPr>
              <w:t>Al 31 de diciembre de 2021, se desembolsaron 1.602 proyectos (1.570 individuales y 32 colectivos) por un valor total de $19.616.105.138</w:t>
            </w:r>
            <w:r>
              <w:rPr>
                <w:rFonts w:cstheme="minorHAnsi"/>
              </w:rPr>
              <w:t>.</w:t>
            </w:r>
          </w:p>
          <w:p w14:paraId="48BD4034" w14:textId="77777777" w:rsidR="007D5F9E" w:rsidRPr="0000059D" w:rsidRDefault="007D5F9E" w:rsidP="007D5F9E">
            <w:pPr>
              <w:rPr>
                <w:rFonts w:cstheme="minorHAnsi"/>
              </w:rPr>
            </w:pPr>
          </w:p>
          <w:p w14:paraId="1F54EF5F" w14:textId="77777777" w:rsidR="007D5F9E" w:rsidRPr="00217427" w:rsidRDefault="007D5F9E" w:rsidP="00631DF4">
            <w:pPr>
              <w:pStyle w:val="Prrafodelista"/>
              <w:numPr>
                <w:ilvl w:val="0"/>
                <w:numId w:val="16"/>
              </w:numPr>
              <w:jc w:val="both"/>
              <w:rPr>
                <w:rFonts w:cstheme="minorHAnsi"/>
                <w:b/>
              </w:rPr>
            </w:pPr>
            <w:r w:rsidRPr="00841440">
              <w:rPr>
                <w:rFonts w:cstheme="minorHAnsi"/>
                <w:b/>
                <w:u w:val="single"/>
              </w:rPr>
              <w:t>Planes y programas de reincorporación social y económica implementados,</w:t>
            </w:r>
            <w:r w:rsidRPr="00217427">
              <w:rPr>
                <w:rFonts w:cstheme="minorHAnsi"/>
                <w:b/>
              </w:rPr>
              <w:t xml:space="preserve"> </w:t>
            </w:r>
            <w:r w:rsidRPr="00217427">
              <w:rPr>
                <w:rFonts w:cstheme="minorHAnsi"/>
              </w:rPr>
              <w:t>hace referencia a</w:t>
            </w:r>
            <w:r>
              <w:rPr>
                <w:rFonts w:cstheme="minorHAnsi"/>
              </w:rPr>
              <w:t>l</w:t>
            </w:r>
            <w:r w:rsidRPr="00217427">
              <w:rPr>
                <w:rFonts w:cstheme="minorHAnsi"/>
              </w:rPr>
              <w:t xml:space="preserve"> Programa Camino Diferencial de Vida</w:t>
            </w:r>
            <w:r>
              <w:rPr>
                <w:rFonts w:cstheme="minorHAnsi"/>
              </w:rPr>
              <w:t xml:space="preserve">, la </w:t>
            </w:r>
            <w:r w:rsidRPr="00217427">
              <w:rPr>
                <w:rFonts w:cstheme="minorHAnsi"/>
              </w:rPr>
              <w:t>Estrategia de Reincorporación Comunitaria y programa Especial de Armonización para la Reintegración y Reincorporación Social y Económica con Enfoque Diferencial Étnico y de Género.</w:t>
            </w:r>
          </w:p>
          <w:p w14:paraId="186FD93E" w14:textId="77777777" w:rsidR="007D5F9E" w:rsidRDefault="007D5F9E" w:rsidP="007D5F9E">
            <w:pPr>
              <w:jc w:val="both"/>
              <w:rPr>
                <w:rFonts w:cstheme="minorHAnsi"/>
                <w:b/>
              </w:rPr>
            </w:pPr>
          </w:p>
          <w:p w14:paraId="15EDEF2D" w14:textId="77777777" w:rsidR="007D5F9E" w:rsidRPr="00217427" w:rsidRDefault="007D5F9E" w:rsidP="00631DF4">
            <w:pPr>
              <w:pStyle w:val="Prrafodelista"/>
              <w:numPr>
                <w:ilvl w:val="0"/>
                <w:numId w:val="17"/>
              </w:numPr>
              <w:jc w:val="both"/>
              <w:rPr>
                <w:rFonts w:cstheme="minorHAnsi"/>
                <w:b/>
              </w:rPr>
            </w:pPr>
            <w:r w:rsidRPr="00217427">
              <w:rPr>
                <w:rFonts w:cstheme="minorHAnsi"/>
                <w:b/>
              </w:rPr>
              <w:t xml:space="preserve">Programa camino diferencial de vida: </w:t>
            </w:r>
          </w:p>
          <w:p w14:paraId="63FD480B" w14:textId="77777777" w:rsidR="007D5F9E" w:rsidRPr="00AF7B5D" w:rsidRDefault="007D5F9E" w:rsidP="007D5F9E">
            <w:pPr>
              <w:jc w:val="both"/>
              <w:rPr>
                <w:rFonts w:cstheme="minorHAnsi"/>
                <w:b/>
              </w:rPr>
            </w:pPr>
          </w:p>
          <w:p w14:paraId="06C1BEC4" w14:textId="77777777" w:rsidR="007D5F9E" w:rsidRDefault="007D5F9E" w:rsidP="007D5F9E">
            <w:pPr>
              <w:rPr>
                <w:rFonts w:cstheme="minorHAnsi"/>
              </w:rPr>
            </w:pPr>
            <w:r w:rsidRPr="00AF7B5D">
              <w:rPr>
                <w:rFonts w:cstheme="minorHAnsi"/>
              </w:rPr>
              <w:t xml:space="preserve">Para el año 2021 se ejecutaron todas las actividades proyectadas para la fidelización de los jóvenes del programa camino diferencial: De forma mensual se remite un reporte de seguimiento a los Grupos Territoriales, en el cual se detalla la información registrada en el Sistema de Información para la Reintegración y Reincorporación de acuerdo a los diferentes componentes de la ruta de reincorporación, las líneas de acompañamiento en reincorporación temprana, el estado de desembolsos de apoyos económicos, así como la información relacionada de instituciones corresponsables en el proceso (Unidad para la Atención y Reparación Integral a las Víctimas -UARIV, Fondo Nacional del Ahorro, Sistema de Seguridad Social en Salud). Se adelantaron once mesas de articulación con la Unidad para la Atención y Reparación Integral a las Víctimas - UARIV para realizar seguimiento a los casos e impulsar el acceso a las medidas de reparación integral de esta población. Se realizó una videoconferencia para fortalecer las rutas interinstitucionales de atención a población </w:t>
            </w:r>
            <w:r w:rsidRPr="00AF7B5D">
              <w:rPr>
                <w:rFonts w:cstheme="minorHAnsi"/>
              </w:rPr>
              <w:lastRenderedPageBreak/>
              <w:t>desvinculada. Se realizaron videoconferencias con los Grupos territoriales para dinamizar las acciones de atención diferencial a esta población.</w:t>
            </w:r>
          </w:p>
          <w:p w14:paraId="51C026D7" w14:textId="77777777" w:rsidR="007D5F9E" w:rsidRPr="00AF7B5D" w:rsidRDefault="007D5F9E" w:rsidP="007D5F9E">
            <w:pPr>
              <w:jc w:val="both"/>
              <w:rPr>
                <w:rFonts w:cstheme="minorHAnsi"/>
              </w:rPr>
            </w:pPr>
          </w:p>
          <w:p w14:paraId="539EE470" w14:textId="77777777" w:rsidR="007D5F9E" w:rsidRPr="00217427" w:rsidRDefault="007D5F9E" w:rsidP="00631DF4">
            <w:pPr>
              <w:pStyle w:val="Prrafodelista"/>
              <w:numPr>
                <w:ilvl w:val="0"/>
                <w:numId w:val="17"/>
              </w:numPr>
              <w:jc w:val="both"/>
              <w:rPr>
                <w:rFonts w:cstheme="minorHAnsi"/>
                <w:b/>
              </w:rPr>
            </w:pPr>
            <w:r w:rsidRPr="00217427">
              <w:rPr>
                <w:rFonts w:cstheme="minorHAnsi"/>
                <w:b/>
              </w:rPr>
              <w:t>Programa de Reincorporación comunitaria</w:t>
            </w:r>
          </w:p>
          <w:p w14:paraId="11AE90D4" w14:textId="77777777" w:rsidR="007D5F9E" w:rsidRPr="00AF7B5D" w:rsidRDefault="007D5F9E" w:rsidP="007D5F9E">
            <w:pPr>
              <w:jc w:val="both"/>
              <w:rPr>
                <w:rFonts w:cstheme="minorHAnsi"/>
              </w:rPr>
            </w:pPr>
          </w:p>
          <w:p w14:paraId="70F6DD52" w14:textId="1D220262" w:rsidR="007D5F9E" w:rsidRDefault="007D5F9E" w:rsidP="007D5F9E">
            <w:pPr>
              <w:rPr>
                <w:rFonts w:cstheme="minorHAnsi"/>
              </w:rPr>
            </w:pPr>
            <w:r w:rsidRPr="00AF7B5D">
              <w:rPr>
                <w:rFonts w:cstheme="minorHAnsi"/>
              </w:rPr>
              <w:t xml:space="preserve">En el marco de la implementación de la Estrategia de Reincorporación Comunitaria, se avanzó en la implementación de 35 procesos comunitarios (a implementarse en 35 municipios). Durante este período se concertaron y elaboraron las fichas de priorización de fortalecimiento donde se definieron 35 iniciativas </w:t>
            </w:r>
            <w:r w:rsidR="00706A92" w:rsidRPr="00AF7B5D">
              <w:rPr>
                <w:rFonts w:cstheme="minorHAnsi"/>
              </w:rPr>
              <w:t>comunitarias relacionadas</w:t>
            </w:r>
            <w:r w:rsidRPr="00AF7B5D">
              <w:rPr>
                <w:rFonts w:cstheme="minorHAnsi"/>
              </w:rPr>
              <w:t xml:space="preserve"> con infraestructura social, espacios de cuidado, procesos culturales, recreativos y organizativos de los territorios. Este proceso se ejecuta a través del convenio No. 1217 de 2021 suscrito entre la ARN y la </w:t>
            </w:r>
            <w:r w:rsidRPr="00217427">
              <w:rPr>
                <w:rFonts w:cstheme="minorHAnsi"/>
              </w:rPr>
              <w:t>Organización Internacional para las Migraciones</w:t>
            </w:r>
            <w:r>
              <w:rPr>
                <w:rFonts w:cstheme="minorHAnsi"/>
              </w:rPr>
              <w:t xml:space="preserve"> -</w:t>
            </w:r>
            <w:r w:rsidRPr="00AF7B5D">
              <w:rPr>
                <w:rFonts w:cstheme="minorHAnsi"/>
              </w:rPr>
              <w:t>OIM.</w:t>
            </w:r>
          </w:p>
          <w:p w14:paraId="4995777E" w14:textId="77777777" w:rsidR="007D5F9E" w:rsidRPr="00AF7B5D" w:rsidRDefault="007D5F9E" w:rsidP="007D5F9E">
            <w:pPr>
              <w:rPr>
                <w:rFonts w:cstheme="minorHAnsi"/>
              </w:rPr>
            </w:pPr>
          </w:p>
          <w:p w14:paraId="0615FB69" w14:textId="77777777" w:rsidR="007D5F9E" w:rsidRDefault="007D5F9E" w:rsidP="007D5F9E">
            <w:pPr>
              <w:rPr>
                <w:rFonts w:cstheme="minorHAnsi"/>
              </w:rPr>
            </w:pPr>
            <w:r w:rsidRPr="00AF7B5D">
              <w:rPr>
                <w:rFonts w:cstheme="minorHAnsi"/>
              </w:rPr>
              <w:t xml:space="preserve">El propósito de esta apuesta institucional </w:t>
            </w:r>
            <w:r>
              <w:rPr>
                <w:rFonts w:cstheme="minorHAnsi"/>
              </w:rPr>
              <w:t>fue</w:t>
            </w:r>
            <w:r w:rsidRPr="00AF7B5D">
              <w:rPr>
                <w:rFonts w:cstheme="minorHAnsi"/>
              </w:rPr>
              <w:t xml:space="preserve"> poner en marcha la Estrategia de Reincorporación Comunitaria que ha materializa</w:t>
            </w:r>
            <w:r>
              <w:rPr>
                <w:rFonts w:cstheme="minorHAnsi"/>
              </w:rPr>
              <w:t>do</w:t>
            </w:r>
            <w:r w:rsidRPr="00AF7B5D">
              <w:rPr>
                <w:rFonts w:cstheme="minorHAnsi"/>
              </w:rPr>
              <w:t xml:space="preserve"> los compromisos del Gobierno Nacional con en el objetivo No. 2 del CONPES 3931 de 2018, la cual fue diseñada en conjunto con los integrantes del Componente Comunes del Consejo Nacional de Reincorporación</w:t>
            </w:r>
            <w:r>
              <w:rPr>
                <w:rFonts w:cstheme="minorHAnsi"/>
              </w:rPr>
              <w:t>-CNR</w:t>
            </w:r>
            <w:r w:rsidRPr="00AF7B5D">
              <w:rPr>
                <w:rFonts w:cstheme="minorHAnsi"/>
              </w:rPr>
              <w:t>, en el marco de la Mesa Técnica Comunitaria</w:t>
            </w:r>
            <w:r>
              <w:rPr>
                <w:rFonts w:cstheme="minorHAnsi"/>
              </w:rPr>
              <w:t>.</w:t>
            </w:r>
          </w:p>
          <w:p w14:paraId="145AAE6F" w14:textId="77777777" w:rsidR="007D5F9E" w:rsidRDefault="007D5F9E" w:rsidP="007D5F9E">
            <w:pPr>
              <w:rPr>
                <w:rFonts w:cstheme="minorHAnsi"/>
              </w:rPr>
            </w:pPr>
          </w:p>
          <w:p w14:paraId="75E29025" w14:textId="77777777" w:rsidR="007D5F9E" w:rsidRPr="00217427" w:rsidRDefault="007D5F9E" w:rsidP="00631DF4">
            <w:pPr>
              <w:pStyle w:val="Prrafodelista"/>
              <w:numPr>
                <w:ilvl w:val="0"/>
                <w:numId w:val="17"/>
              </w:numPr>
              <w:rPr>
                <w:rFonts w:cstheme="minorHAnsi"/>
                <w:b/>
              </w:rPr>
            </w:pPr>
            <w:r w:rsidRPr="00217427">
              <w:rPr>
                <w:rFonts w:cstheme="minorHAnsi"/>
                <w:b/>
              </w:rPr>
              <w:t>Programa Especial de Armonización para la Reintegración y Reincorporación Social y Económica con Enfoque Diferencial Étnico y de Género</w:t>
            </w:r>
          </w:p>
          <w:p w14:paraId="0FC0C1A6" w14:textId="77777777" w:rsidR="007D5F9E" w:rsidRDefault="007D5F9E" w:rsidP="007D5F9E">
            <w:pPr>
              <w:rPr>
                <w:rFonts w:cstheme="minorHAnsi"/>
              </w:rPr>
            </w:pPr>
          </w:p>
          <w:p w14:paraId="7A49CA8C" w14:textId="671C4CDB" w:rsidR="00623C90" w:rsidRDefault="007D5F9E" w:rsidP="00F17A86">
            <w:pPr>
              <w:jc w:val="both"/>
              <w:rPr>
                <w:sz w:val="24"/>
                <w:szCs w:val="24"/>
              </w:rPr>
            </w:pPr>
            <w:r>
              <w:rPr>
                <w:rFonts w:cstheme="minorHAnsi"/>
              </w:rPr>
              <w:t>El avance en el programa especial de armonización se encuentra descrito en</w:t>
            </w:r>
            <w:r w:rsidR="00F17A86">
              <w:rPr>
                <w:rFonts w:cstheme="minorHAnsi"/>
              </w:rPr>
              <w:t xml:space="preserve"> el </w:t>
            </w:r>
            <w:r w:rsidR="00F17A86" w:rsidRPr="00F17A86">
              <w:rPr>
                <w:rFonts w:cstheme="minorHAnsi"/>
              </w:rPr>
              <w:t>Punto 6 del Acuerdo</w:t>
            </w:r>
            <w:r w:rsidR="00F17A86">
              <w:rPr>
                <w:rFonts w:cstheme="minorHAnsi"/>
              </w:rPr>
              <w:t xml:space="preserve">, </w:t>
            </w:r>
            <w:r w:rsidR="00F17A86" w:rsidRPr="00F17A86">
              <w:rPr>
                <w:rFonts w:cstheme="minorHAnsi"/>
              </w:rPr>
              <w:t>Implementación, verificación y refrendación</w:t>
            </w:r>
            <w:r w:rsidR="00F17A86">
              <w:rPr>
                <w:rFonts w:cstheme="minorHAnsi"/>
              </w:rPr>
              <w:t>, acción 1 que corresponde a Acciones con pueblos indígenas.</w:t>
            </w:r>
          </w:p>
        </w:tc>
      </w:tr>
      <w:tr w:rsidR="00623C90" w14:paraId="0364E83E" w14:textId="77777777" w:rsidTr="00623C90">
        <w:tc>
          <w:tcPr>
            <w:tcW w:w="1726" w:type="dxa"/>
            <w:tcBorders>
              <w:top w:val="single" w:sz="4" w:space="0" w:color="0070C0"/>
              <w:left w:val="single" w:sz="4" w:space="0" w:color="0070C0"/>
              <w:bottom w:val="single" w:sz="4" w:space="0" w:color="0070C0"/>
              <w:right w:val="nil"/>
            </w:tcBorders>
            <w:vAlign w:val="center"/>
            <w:hideMark/>
          </w:tcPr>
          <w:p w14:paraId="31EF6C46" w14:textId="09B32DF5" w:rsidR="00623C90" w:rsidRDefault="00623C90">
            <w:pPr>
              <w:jc w:val="center"/>
              <w:rPr>
                <w:sz w:val="24"/>
                <w:szCs w:val="24"/>
              </w:rPr>
            </w:pPr>
            <w:r>
              <w:rPr>
                <w:noProof/>
                <w:lang w:eastAsia="es-CO"/>
              </w:rPr>
              <w:lastRenderedPageBreak/>
              <w:drawing>
                <wp:inline distT="0" distB="0" distL="0" distR="0" wp14:anchorId="7F5DA862" wp14:editId="1C08690F">
                  <wp:extent cx="923925" cy="800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49197F56" w14:textId="77777777" w:rsidR="00623C90" w:rsidRDefault="00623C90">
            <w:pPr>
              <w:jc w:val="both"/>
              <w:rPr>
                <w:color w:val="002060"/>
                <w:sz w:val="28"/>
                <w:szCs w:val="28"/>
              </w:rPr>
            </w:pPr>
            <w:r>
              <w:rPr>
                <w:color w:val="002060"/>
                <w:sz w:val="28"/>
                <w:szCs w:val="28"/>
              </w:rPr>
              <w:t>¿Quiénes se beneficiaron?</w:t>
            </w:r>
          </w:p>
          <w:p w14:paraId="74529EBD" w14:textId="77777777" w:rsidR="007D5F9E" w:rsidRPr="00F74EBA" w:rsidRDefault="007D5F9E" w:rsidP="007D5F9E">
            <w:pPr>
              <w:jc w:val="both"/>
              <w:rPr>
                <w:i/>
                <w:sz w:val="24"/>
                <w:szCs w:val="24"/>
              </w:rPr>
            </w:pPr>
          </w:p>
          <w:p w14:paraId="5228794A" w14:textId="76108902" w:rsidR="007D5F9E" w:rsidRPr="00A2350F" w:rsidRDefault="007D5F9E" w:rsidP="00A2350F">
            <w:pPr>
              <w:pStyle w:val="Prrafodelista"/>
              <w:numPr>
                <w:ilvl w:val="0"/>
                <w:numId w:val="18"/>
              </w:numPr>
              <w:rPr>
                <w:rFonts w:cstheme="minorHAnsi"/>
                <w:b/>
                <w:iCs/>
                <w:u w:val="single"/>
              </w:rPr>
            </w:pPr>
            <w:r w:rsidRPr="00841440">
              <w:rPr>
                <w:rFonts w:cstheme="minorHAnsi"/>
                <w:b/>
                <w:iCs/>
                <w:u w:val="single"/>
              </w:rPr>
              <w:t>Proyectos productivos individuales o colectivo viabilizados con apoyo económico entregado.</w:t>
            </w:r>
            <w:r w:rsidR="00A2350F">
              <w:rPr>
                <w:rFonts w:cstheme="minorHAnsi"/>
                <w:b/>
                <w:iCs/>
                <w:u w:val="single"/>
              </w:rPr>
              <w:t xml:space="preserve"> </w:t>
            </w:r>
            <w:r w:rsidRPr="00A2350F">
              <w:rPr>
                <w:i/>
              </w:rPr>
              <w:t xml:space="preserve">Para el 2021 se tiene un total 2.453 personas con desembolso y 2.894 personas con proyecto viabilizado. Beneficiando a 566 mujeres y 1.887 hombres, de los cuales 407 integran un grupo étnico (249 indígenas, 147 afrodescendientes, 11 palenqueros). </w:t>
            </w:r>
          </w:p>
          <w:p w14:paraId="75C1E2CC" w14:textId="77777777" w:rsidR="007D5F9E" w:rsidRDefault="007D5F9E" w:rsidP="007D5F9E">
            <w:pPr>
              <w:jc w:val="both"/>
              <w:rPr>
                <w:rFonts w:cstheme="minorHAnsi"/>
                <w:bCs/>
              </w:rPr>
            </w:pPr>
          </w:p>
          <w:p w14:paraId="2A26A0ED" w14:textId="77777777" w:rsidR="007D5F9E" w:rsidRPr="007E0C12" w:rsidRDefault="007D5F9E" w:rsidP="00631DF4">
            <w:pPr>
              <w:pStyle w:val="Prrafodelista"/>
              <w:numPr>
                <w:ilvl w:val="0"/>
                <w:numId w:val="18"/>
              </w:numPr>
              <w:jc w:val="both"/>
              <w:rPr>
                <w:rFonts w:cstheme="minorHAnsi"/>
                <w:b/>
              </w:rPr>
            </w:pPr>
            <w:r w:rsidRPr="00841440">
              <w:rPr>
                <w:rFonts w:cstheme="minorHAnsi"/>
                <w:b/>
                <w:u w:val="single"/>
              </w:rPr>
              <w:t>Planes y programas de reincorporación social y económica implementados,</w:t>
            </w:r>
            <w:r w:rsidRPr="007E0C12">
              <w:rPr>
                <w:rFonts w:cstheme="minorHAnsi"/>
                <w:b/>
              </w:rPr>
              <w:t xml:space="preserve"> </w:t>
            </w:r>
            <w:r w:rsidRPr="007E0C12">
              <w:rPr>
                <w:rFonts w:cstheme="minorHAnsi"/>
              </w:rPr>
              <w:t>hace referencia al Programa Camino Diferencial de Vida, la Estrategia de Reincorporación Comunitaria y programa Especial de Armonización para la Reintegración y Reincorporación Social y Económica con Enfoque Diferencial Étnico y de Género.</w:t>
            </w:r>
          </w:p>
          <w:p w14:paraId="26F85E78" w14:textId="77777777" w:rsidR="007D5F9E" w:rsidRDefault="007D5F9E" w:rsidP="007D5F9E">
            <w:pPr>
              <w:jc w:val="both"/>
              <w:rPr>
                <w:rFonts w:cstheme="minorHAnsi"/>
                <w:bCs/>
              </w:rPr>
            </w:pPr>
          </w:p>
          <w:p w14:paraId="214CE82E" w14:textId="77777777" w:rsidR="007D5F9E" w:rsidRPr="00C635C1" w:rsidRDefault="007D5F9E" w:rsidP="00631DF4">
            <w:pPr>
              <w:pStyle w:val="Prrafodelista"/>
              <w:numPr>
                <w:ilvl w:val="0"/>
                <w:numId w:val="19"/>
              </w:numPr>
              <w:autoSpaceDE w:val="0"/>
              <w:autoSpaceDN w:val="0"/>
              <w:jc w:val="both"/>
              <w:rPr>
                <w:rFonts w:cstheme="minorHAnsi"/>
              </w:rPr>
            </w:pPr>
            <w:r w:rsidRPr="00C635C1">
              <w:rPr>
                <w:rFonts w:cstheme="minorHAnsi"/>
                <w:b/>
              </w:rPr>
              <w:t>Programa camino diferencial de vida</w:t>
            </w:r>
            <w:r w:rsidRPr="00C635C1">
              <w:rPr>
                <w:rFonts w:cstheme="minorHAnsi"/>
                <w:b/>
                <w:i/>
              </w:rPr>
              <w:t xml:space="preserve">: </w:t>
            </w:r>
            <w:r w:rsidRPr="00C635C1">
              <w:rPr>
                <w:rFonts w:cstheme="minorHAnsi"/>
              </w:rPr>
              <w:t xml:space="preserve">El número de beneficiarios en el programa, es de 124 jóvenes, de los cuales 4 jóvenes fallecieron, 2 están en limitante temporal, 8 están ausentes por más de tres meses y 110 están activos con acompañamiento por parte del facilitador de </w:t>
            </w:r>
            <w:r w:rsidRPr="00C635C1">
              <w:rPr>
                <w:rFonts w:cstheme="minorHAnsi"/>
              </w:rPr>
              <w:lastRenderedPageBreak/>
              <w:t>la ARN y presentan asistencias mensuales. De los participantes activos 43 son hombres y 67 son mujeres, de los cuales se reconocen 18 indígenas y 7 afrodescendientes.</w:t>
            </w:r>
          </w:p>
          <w:p w14:paraId="1E73E43C" w14:textId="77777777" w:rsidR="007D5F9E" w:rsidRDefault="007D5F9E" w:rsidP="007D5F9E">
            <w:pPr>
              <w:ind w:left="318"/>
              <w:rPr>
                <w:rFonts w:cstheme="minorHAnsi"/>
              </w:rPr>
            </w:pPr>
          </w:p>
          <w:p w14:paraId="5F079C20" w14:textId="77777777" w:rsidR="007D5F9E" w:rsidRDefault="007D5F9E" w:rsidP="007D5F9E">
            <w:pPr>
              <w:rPr>
                <w:rFonts w:cstheme="minorHAnsi"/>
              </w:rPr>
            </w:pPr>
            <w:r>
              <w:rPr>
                <w:rFonts w:cstheme="minorHAnsi"/>
              </w:rPr>
              <w:t>Resultado desagregado:</w:t>
            </w:r>
          </w:p>
          <w:p w14:paraId="41FD58A8" w14:textId="77777777" w:rsidR="007D5F9E" w:rsidRDefault="007D5F9E" w:rsidP="007D5F9E">
            <w:pPr>
              <w:rPr>
                <w:rFonts w:cstheme="minorHAnsi"/>
              </w:rPr>
            </w:pPr>
          </w:p>
          <w:p w14:paraId="2F3F077D" w14:textId="77777777" w:rsidR="007D5F9E" w:rsidRPr="00096738" w:rsidRDefault="007D5F9E" w:rsidP="00631DF4">
            <w:pPr>
              <w:pStyle w:val="Prrafodelista"/>
              <w:numPr>
                <w:ilvl w:val="0"/>
                <w:numId w:val="20"/>
              </w:numPr>
              <w:jc w:val="both"/>
              <w:rPr>
                <w:szCs w:val="24"/>
              </w:rPr>
            </w:pPr>
            <w:r w:rsidRPr="00096738">
              <w:rPr>
                <w:szCs w:val="24"/>
                <w:u w:val="single"/>
              </w:rPr>
              <w:t>Sostenibilidad Económica:</w:t>
            </w:r>
            <w:r w:rsidRPr="00096738">
              <w:rPr>
                <w:szCs w:val="24"/>
              </w:rPr>
              <w:t xml:space="preserve"> Se registran 48 personas con proyectos productivos desembolsados, 8 con desembolso en trámite, 14 en proceso de solicitud y 9 con participación en entornos productivos.</w:t>
            </w:r>
          </w:p>
          <w:p w14:paraId="200F13D0" w14:textId="77777777" w:rsidR="007D5F9E" w:rsidRPr="00096738" w:rsidRDefault="007D5F9E" w:rsidP="00631DF4">
            <w:pPr>
              <w:pStyle w:val="Prrafodelista"/>
              <w:numPr>
                <w:ilvl w:val="0"/>
                <w:numId w:val="20"/>
              </w:numPr>
              <w:jc w:val="both"/>
              <w:rPr>
                <w:szCs w:val="24"/>
              </w:rPr>
            </w:pPr>
            <w:r w:rsidRPr="00096738">
              <w:rPr>
                <w:szCs w:val="24"/>
                <w:u w:val="single"/>
              </w:rPr>
              <w:t>Habitabilidad y vivienda:</w:t>
            </w:r>
            <w:r w:rsidRPr="00096738">
              <w:rPr>
                <w:szCs w:val="24"/>
              </w:rPr>
              <w:t xml:space="preserve"> 10 participantes cuentan con procesos de ahorro activos en el Fondo Nacional del Ahorro y 4 con vivienda propia totalmente pagada y 4 con vivienda propia en proceso de pago.</w:t>
            </w:r>
          </w:p>
          <w:p w14:paraId="7D77DE63" w14:textId="3D8541D5" w:rsidR="007D5F9E" w:rsidRPr="00096738" w:rsidRDefault="007D5F9E" w:rsidP="00631DF4">
            <w:pPr>
              <w:pStyle w:val="Prrafodelista"/>
              <w:numPr>
                <w:ilvl w:val="0"/>
                <w:numId w:val="20"/>
              </w:numPr>
              <w:jc w:val="both"/>
              <w:rPr>
                <w:szCs w:val="24"/>
              </w:rPr>
            </w:pPr>
            <w:r w:rsidRPr="00096738">
              <w:rPr>
                <w:szCs w:val="24"/>
                <w:u w:val="single"/>
              </w:rPr>
              <w:t>Familia:</w:t>
            </w:r>
            <w:r>
              <w:rPr>
                <w:szCs w:val="24"/>
                <w:u w:val="single"/>
              </w:rPr>
              <w:t xml:space="preserve"> </w:t>
            </w:r>
            <w:r w:rsidRPr="00096738">
              <w:rPr>
                <w:szCs w:val="24"/>
              </w:rPr>
              <w:t xml:space="preserve"> 74 son padres o madres, registrando 91 hijos e hijas. Además, hay 6 mujeres gestantes y 18 mujeres lactantes.</w:t>
            </w:r>
          </w:p>
          <w:p w14:paraId="7A9B7545" w14:textId="77777777" w:rsidR="007D5F9E" w:rsidRPr="00096738" w:rsidRDefault="007D5F9E" w:rsidP="00631DF4">
            <w:pPr>
              <w:pStyle w:val="Prrafodelista"/>
              <w:numPr>
                <w:ilvl w:val="0"/>
                <w:numId w:val="20"/>
              </w:numPr>
              <w:jc w:val="both"/>
              <w:rPr>
                <w:szCs w:val="24"/>
              </w:rPr>
            </w:pPr>
            <w:r w:rsidRPr="00096738">
              <w:rPr>
                <w:szCs w:val="24"/>
                <w:u w:val="single"/>
              </w:rPr>
              <w:t>Educación:</w:t>
            </w:r>
            <w:r w:rsidRPr="00096738">
              <w:rPr>
                <w:szCs w:val="24"/>
              </w:rPr>
              <w:t xml:space="preserve"> 52 son bachilleres. Hay 14 cursando estudios en proceso de formación para el trabajo y 46 con estudios aprobados. En cuanto a formación académica, 34 se encuentran estudiando actualmente, de los cuales 3 están vinculados a educación superior.</w:t>
            </w:r>
          </w:p>
          <w:p w14:paraId="38EEDB44" w14:textId="77777777" w:rsidR="007D5F9E" w:rsidRDefault="007D5F9E" w:rsidP="00631DF4">
            <w:pPr>
              <w:pStyle w:val="Prrafodelista"/>
              <w:numPr>
                <w:ilvl w:val="0"/>
                <w:numId w:val="20"/>
              </w:numPr>
              <w:jc w:val="both"/>
              <w:rPr>
                <w:szCs w:val="24"/>
              </w:rPr>
            </w:pPr>
            <w:r w:rsidRPr="00C635C1">
              <w:rPr>
                <w:szCs w:val="24"/>
                <w:u w:val="single"/>
              </w:rPr>
              <w:t>Salud:</w:t>
            </w:r>
            <w:r w:rsidRPr="00C635C1">
              <w:rPr>
                <w:szCs w:val="24"/>
              </w:rPr>
              <w:t xml:space="preserve"> 119 se encuentran activos en el sistema de salud, y 111 han participado en procesos de formación en derechos y deberes en salud sexual y reproductiva, gestión para el desarrollo de brigadas, capacitaciones y jornadas sobre el tema y gestión para la vinculación a los servicios de promoción, prevención y atención de la </w:t>
            </w:r>
            <w:bookmarkStart w:id="0" w:name="_Hlk77747731"/>
            <w:r w:rsidRPr="00C635C1">
              <w:rPr>
                <w:szCs w:val="24"/>
              </w:rPr>
              <w:t>EPS</w:t>
            </w:r>
            <w:bookmarkEnd w:id="0"/>
            <w:r w:rsidRPr="00C635C1">
              <w:rPr>
                <w:szCs w:val="24"/>
              </w:rPr>
              <w:t xml:space="preserve"> y hospitales municipales.</w:t>
            </w:r>
          </w:p>
          <w:p w14:paraId="3E5E9BA4" w14:textId="77777777" w:rsidR="007D5F9E" w:rsidRDefault="007D5F9E" w:rsidP="00631DF4">
            <w:pPr>
              <w:pStyle w:val="Prrafodelista"/>
              <w:numPr>
                <w:ilvl w:val="0"/>
                <w:numId w:val="20"/>
              </w:numPr>
              <w:jc w:val="both"/>
              <w:rPr>
                <w:szCs w:val="24"/>
              </w:rPr>
            </w:pPr>
            <w:r w:rsidRPr="00C635C1">
              <w:rPr>
                <w:szCs w:val="24"/>
                <w:u w:val="single"/>
              </w:rPr>
              <w:t>Bienestar Psicosocial:</w:t>
            </w:r>
            <w:r w:rsidRPr="00C635C1">
              <w:rPr>
                <w:szCs w:val="24"/>
              </w:rPr>
              <w:t xml:space="preserve"> 79 participaron en la “estrategia piloto de acompañamiento psicosocial a adolescentes y jóvenes que han salido de los campamentos de las FARC-EP - constructores y tejedores de sentidos y trayectorias”, mientras que 15 han recibido atención psicológica directa por UNICEF. 30 jóvenes cuentan con su situación militar definida.</w:t>
            </w:r>
          </w:p>
          <w:p w14:paraId="4E85B78C" w14:textId="77777777" w:rsidR="007D5F9E" w:rsidRDefault="007D5F9E" w:rsidP="00631DF4">
            <w:pPr>
              <w:pStyle w:val="Prrafodelista"/>
              <w:numPr>
                <w:ilvl w:val="0"/>
                <w:numId w:val="20"/>
              </w:numPr>
              <w:jc w:val="both"/>
              <w:rPr>
                <w:szCs w:val="24"/>
              </w:rPr>
            </w:pPr>
            <w:r w:rsidRPr="00C635C1">
              <w:rPr>
                <w:szCs w:val="24"/>
                <w:u w:val="single"/>
              </w:rPr>
              <w:t xml:space="preserve">Comunitario: </w:t>
            </w:r>
            <w:r w:rsidRPr="00C635C1">
              <w:rPr>
                <w:szCs w:val="24"/>
              </w:rPr>
              <w:t>91 participaron en el proyecto Escuela de Jóvenes Líderes para la Construcción de Cultura Democrática- OIM.</w:t>
            </w:r>
          </w:p>
          <w:p w14:paraId="7ADF4EF2" w14:textId="77777777" w:rsidR="007D5F9E" w:rsidRPr="00C635C1" w:rsidRDefault="007D5F9E" w:rsidP="00631DF4">
            <w:pPr>
              <w:pStyle w:val="Prrafodelista"/>
              <w:numPr>
                <w:ilvl w:val="0"/>
                <w:numId w:val="20"/>
              </w:numPr>
              <w:jc w:val="both"/>
              <w:rPr>
                <w:szCs w:val="24"/>
              </w:rPr>
            </w:pPr>
            <w:r w:rsidRPr="00C635C1">
              <w:rPr>
                <w:szCs w:val="24"/>
                <w:u w:val="single"/>
              </w:rPr>
              <w:t>Beneficios económicos</w:t>
            </w:r>
            <w:r w:rsidRPr="00C635C1">
              <w:rPr>
                <w:szCs w:val="24"/>
              </w:rPr>
              <w:t>: 124 jóvenes han recibido los beneficios económicos de Asignación Única de Normalización ($2,000,000).</w:t>
            </w:r>
          </w:p>
          <w:p w14:paraId="63E498FE" w14:textId="77777777" w:rsidR="007D5F9E" w:rsidRDefault="007D5F9E" w:rsidP="00631DF4">
            <w:pPr>
              <w:pStyle w:val="Prrafodelista"/>
              <w:numPr>
                <w:ilvl w:val="0"/>
                <w:numId w:val="21"/>
              </w:numPr>
              <w:jc w:val="both"/>
              <w:rPr>
                <w:szCs w:val="24"/>
              </w:rPr>
            </w:pPr>
            <w:r w:rsidRPr="00C635C1">
              <w:rPr>
                <w:szCs w:val="24"/>
              </w:rPr>
              <w:t>124 jóvenes han recibido renta básica equivalente al 90% del SLMMMV.</w:t>
            </w:r>
          </w:p>
          <w:p w14:paraId="53CE2482" w14:textId="77777777" w:rsidR="007D5F9E" w:rsidRDefault="007D5F9E" w:rsidP="00631DF4">
            <w:pPr>
              <w:pStyle w:val="Prrafodelista"/>
              <w:numPr>
                <w:ilvl w:val="0"/>
                <w:numId w:val="21"/>
              </w:numPr>
              <w:jc w:val="both"/>
              <w:rPr>
                <w:szCs w:val="24"/>
              </w:rPr>
            </w:pPr>
            <w:r w:rsidRPr="00C635C1">
              <w:rPr>
                <w:szCs w:val="24"/>
              </w:rPr>
              <w:t xml:space="preserve">En renta básica los jóvenes han recibido entre 7 y 24 desembolsos con montos totales entre $ 4.973.051 y </w:t>
            </w:r>
            <w:r w:rsidRPr="00096738">
              <w:rPr>
                <w:szCs w:val="24"/>
              </w:rPr>
              <w:t>los $$19.219.983</w:t>
            </w:r>
          </w:p>
          <w:p w14:paraId="265B8012" w14:textId="77777777" w:rsidR="007D5F9E" w:rsidRPr="00C635C1" w:rsidRDefault="007D5F9E" w:rsidP="00631DF4">
            <w:pPr>
              <w:pStyle w:val="Prrafodelista"/>
              <w:numPr>
                <w:ilvl w:val="0"/>
                <w:numId w:val="21"/>
              </w:numPr>
              <w:jc w:val="both"/>
              <w:rPr>
                <w:szCs w:val="24"/>
              </w:rPr>
            </w:pPr>
            <w:r w:rsidRPr="00C635C1">
              <w:rPr>
                <w:szCs w:val="24"/>
              </w:rPr>
              <w:t>Respecto a asignación mensual han recibido entre 1 y 2</w:t>
            </w:r>
            <w:r>
              <w:rPr>
                <w:szCs w:val="24"/>
              </w:rPr>
              <w:t>8</w:t>
            </w:r>
            <w:r w:rsidRPr="00C635C1">
              <w:rPr>
                <w:szCs w:val="24"/>
              </w:rPr>
              <w:t xml:space="preserve"> desembolsos relativos al 90% del SLMMMV con montos totales ent</w:t>
            </w:r>
            <w:r w:rsidRPr="00096738">
              <w:rPr>
                <w:szCs w:val="24"/>
              </w:rPr>
              <w:t>re $ 817.673 y los $ 23.018.872.</w:t>
            </w:r>
          </w:p>
          <w:p w14:paraId="1F4CFB26" w14:textId="77777777" w:rsidR="007D5F9E" w:rsidRPr="00F74EBA" w:rsidRDefault="007D5F9E" w:rsidP="007D5F9E">
            <w:pPr>
              <w:jc w:val="both"/>
              <w:rPr>
                <w:rFonts w:cstheme="minorHAnsi"/>
                <w:bCs/>
              </w:rPr>
            </w:pPr>
          </w:p>
          <w:p w14:paraId="674B94A7" w14:textId="77777777" w:rsidR="007D5F9E" w:rsidRPr="00C635C1" w:rsidRDefault="007D5F9E" w:rsidP="00631DF4">
            <w:pPr>
              <w:pStyle w:val="Prrafodelista"/>
              <w:numPr>
                <w:ilvl w:val="0"/>
                <w:numId w:val="19"/>
              </w:numPr>
              <w:autoSpaceDE w:val="0"/>
              <w:autoSpaceDN w:val="0"/>
              <w:spacing w:after="120"/>
              <w:rPr>
                <w:rFonts w:cstheme="minorHAnsi"/>
                <w:b/>
              </w:rPr>
            </w:pPr>
            <w:r w:rsidRPr="00AD5ACB">
              <w:rPr>
                <w:rFonts w:cstheme="minorHAnsi"/>
                <w:b/>
              </w:rPr>
              <w:t>Estrategia de Reincorporación Comunitaria:</w:t>
            </w:r>
            <w:r w:rsidRPr="00AD5ACB">
              <w:rPr>
                <w:i/>
                <w:color w:val="70AD47" w:themeColor="accent6"/>
                <w:sz w:val="24"/>
                <w:szCs w:val="24"/>
              </w:rPr>
              <w:t xml:space="preserve"> </w:t>
            </w:r>
            <w:r w:rsidRPr="00AD5ACB">
              <w:rPr>
                <w:rFonts w:cstheme="minorHAnsi"/>
                <w:bCs/>
              </w:rPr>
              <w:t xml:space="preserve">Se desarrollaron 70 encuentros en los municipios focalizados en donde participaron alrededor de 30 personas por municipio (1.050 personas en total). </w:t>
            </w:r>
            <w:r w:rsidRPr="00AD5ACB">
              <w:rPr>
                <w:rFonts w:cstheme="minorHAnsi"/>
                <w:bCs/>
              </w:rPr>
              <w:lastRenderedPageBreak/>
              <w:t>Estas actividades contaron con la participación de las comunidades, personas en reincorporación y otros actores estratégicos en la definición de sus propuestas de proyecto en cada uno de los 35 municipios priorizados.</w:t>
            </w:r>
          </w:p>
          <w:p w14:paraId="5992BF2E" w14:textId="77777777" w:rsidR="007D5F9E" w:rsidRPr="00AD5ACB" w:rsidRDefault="007D5F9E" w:rsidP="007D5F9E">
            <w:pPr>
              <w:pStyle w:val="Prrafodelista"/>
              <w:autoSpaceDE w:val="0"/>
              <w:autoSpaceDN w:val="0"/>
              <w:spacing w:after="120"/>
              <w:rPr>
                <w:rFonts w:cstheme="minorHAnsi"/>
                <w:b/>
              </w:rPr>
            </w:pPr>
          </w:p>
          <w:p w14:paraId="79B72DCC" w14:textId="741F91E2" w:rsidR="00623C90" w:rsidRDefault="007D5F9E" w:rsidP="00AF1012">
            <w:pPr>
              <w:pStyle w:val="Prrafodelista"/>
              <w:numPr>
                <w:ilvl w:val="0"/>
                <w:numId w:val="19"/>
              </w:numPr>
              <w:rPr>
                <w:sz w:val="24"/>
                <w:szCs w:val="24"/>
              </w:rPr>
            </w:pPr>
            <w:r w:rsidRPr="00AF1012">
              <w:rPr>
                <w:rFonts w:cstheme="minorHAnsi"/>
                <w:b/>
              </w:rPr>
              <w:t>Programa Especial de Armonización para la Reintegración y Reincorporación Social y Económica con Enfoque Diferencial Étnico y de Género</w:t>
            </w:r>
            <w:r w:rsidR="00AF1012" w:rsidRPr="00AF1012">
              <w:rPr>
                <w:rFonts w:cstheme="minorHAnsi"/>
                <w:b/>
              </w:rPr>
              <w:t xml:space="preserve">: </w:t>
            </w:r>
            <w:r w:rsidRPr="00096738">
              <w:rPr>
                <w:rFonts w:cstheme="minorHAnsi"/>
                <w:bCs/>
              </w:rPr>
              <w:t>El programa Especial de Armonización para la Reintegración y Reincorporación Social y Económica con Enfoque Diferencial Étnico y de Género, se encuentra actualmente en etapa de consulta previa con las autoridades Étnicas de los Territorios en los cuales se llevará a cabo este proceso, razón por la cual no se reportan personas beneficiadas por parte de este programa, hasta no suplir este paso.</w:t>
            </w:r>
          </w:p>
        </w:tc>
      </w:tr>
      <w:tr w:rsidR="00623C90" w14:paraId="657909BF" w14:textId="77777777" w:rsidTr="00623C90">
        <w:tc>
          <w:tcPr>
            <w:tcW w:w="1726" w:type="dxa"/>
            <w:tcBorders>
              <w:top w:val="single" w:sz="4" w:space="0" w:color="0070C0"/>
              <w:left w:val="single" w:sz="4" w:space="0" w:color="0070C0"/>
              <w:bottom w:val="single" w:sz="4" w:space="0" w:color="0070C0"/>
              <w:right w:val="nil"/>
            </w:tcBorders>
            <w:vAlign w:val="center"/>
            <w:hideMark/>
          </w:tcPr>
          <w:p w14:paraId="512E5330" w14:textId="585370E0" w:rsidR="00623C90" w:rsidRDefault="00623C90">
            <w:pPr>
              <w:jc w:val="center"/>
              <w:rPr>
                <w:sz w:val="24"/>
                <w:szCs w:val="24"/>
              </w:rPr>
            </w:pPr>
            <w:r>
              <w:rPr>
                <w:noProof/>
                <w:lang w:eastAsia="es-CO"/>
              </w:rPr>
              <w:lastRenderedPageBreak/>
              <w:drawing>
                <wp:inline distT="0" distB="0" distL="0" distR="0" wp14:anchorId="4711BE66" wp14:editId="488603FA">
                  <wp:extent cx="942975" cy="838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793A28E8" w14:textId="77777777" w:rsidR="00623C90" w:rsidRDefault="00623C90">
            <w:pPr>
              <w:jc w:val="both"/>
              <w:rPr>
                <w:color w:val="002060"/>
                <w:sz w:val="28"/>
                <w:szCs w:val="28"/>
              </w:rPr>
            </w:pPr>
            <w:r>
              <w:rPr>
                <w:color w:val="002060"/>
                <w:sz w:val="28"/>
                <w:szCs w:val="28"/>
              </w:rPr>
              <w:t>¿En qué municipios desarrollamos la acción?</w:t>
            </w:r>
          </w:p>
          <w:p w14:paraId="47404FA1" w14:textId="25E9560C" w:rsidR="00623C90" w:rsidRDefault="00623C90">
            <w:pPr>
              <w:jc w:val="both"/>
              <w:rPr>
                <w:sz w:val="24"/>
                <w:szCs w:val="24"/>
              </w:rPr>
            </w:pPr>
            <w:r>
              <w:rPr>
                <w:sz w:val="24"/>
                <w:szCs w:val="24"/>
              </w:rPr>
              <w:t xml:space="preserve"> </w:t>
            </w:r>
          </w:p>
          <w:p w14:paraId="5DE90BBA" w14:textId="66309749" w:rsidR="007D5F9E" w:rsidRPr="00AF1012" w:rsidRDefault="007D5F9E" w:rsidP="009D507C">
            <w:pPr>
              <w:pStyle w:val="Prrafodelista"/>
              <w:numPr>
                <w:ilvl w:val="0"/>
                <w:numId w:val="22"/>
              </w:numPr>
              <w:jc w:val="both"/>
              <w:rPr>
                <w:i/>
                <w:sz w:val="24"/>
                <w:szCs w:val="24"/>
              </w:rPr>
            </w:pPr>
            <w:r w:rsidRPr="00AF1012">
              <w:rPr>
                <w:rFonts w:cstheme="minorHAnsi"/>
                <w:b/>
                <w:iCs/>
                <w:u w:val="single"/>
              </w:rPr>
              <w:t>Proyectos productivos individuales o colectivo viabilizados con apoyo económico entregado</w:t>
            </w:r>
            <w:r w:rsidR="00AF1012" w:rsidRPr="00AF1012">
              <w:rPr>
                <w:rFonts w:cstheme="minorHAnsi"/>
                <w:b/>
                <w:iCs/>
                <w:u w:val="single"/>
              </w:rPr>
              <w:t>:</w:t>
            </w:r>
            <w:r w:rsidR="00AF1012" w:rsidRPr="00AF1012">
              <w:rPr>
                <w:rFonts w:cstheme="minorHAnsi"/>
                <w:b/>
                <w:iCs/>
              </w:rPr>
              <w:t xml:space="preserve"> </w:t>
            </w:r>
            <w:r w:rsidRPr="00AF1012">
              <w:rPr>
                <w:rFonts w:cstheme="minorHAnsi"/>
                <w:iCs/>
              </w:rPr>
              <w:t xml:space="preserve">Número de personas beneficiadas de desembolso de proyectos productivos </w:t>
            </w:r>
            <w:r w:rsidRPr="00AF1012">
              <w:rPr>
                <w:rFonts w:cstheme="minorHAnsi"/>
                <w:b/>
                <w:iCs/>
              </w:rPr>
              <w:t>individuales</w:t>
            </w:r>
            <w:r w:rsidRPr="00AF1012">
              <w:rPr>
                <w:rFonts w:cstheme="minorHAnsi"/>
                <w:iCs/>
              </w:rPr>
              <w:t xml:space="preserve"> por departamento para el año 2021.</w:t>
            </w:r>
          </w:p>
          <w:p w14:paraId="7128BA43" w14:textId="77777777" w:rsidR="00AF1012" w:rsidRPr="00AF1012" w:rsidRDefault="00AF1012" w:rsidP="00AF1012">
            <w:pPr>
              <w:pStyle w:val="Prrafodelista"/>
              <w:ind w:left="1080"/>
              <w:jc w:val="both"/>
              <w:rPr>
                <w:i/>
                <w:sz w:val="24"/>
                <w:szCs w:val="24"/>
              </w:rPr>
            </w:pPr>
          </w:p>
          <w:tbl>
            <w:tblPr>
              <w:tblW w:w="5834" w:type="dxa"/>
              <w:jc w:val="center"/>
              <w:tblCellMar>
                <w:left w:w="70" w:type="dxa"/>
                <w:right w:w="70" w:type="dxa"/>
              </w:tblCellMar>
              <w:tblLook w:val="04A0" w:firstRow="1" w:lastRow="0" w:firstColumn="1" w:lastColumn="0" w:noHBand="0" w:noVBand="1"/>
            </w:tblPr>
            <w:tblGrid>
              <w:gridCol w:w="2290"/>
              <w:gridCol w:w="1276"/>
              <w:gridCol w:w="1417"/>
              <w:gridCol w:w="851"/>
            </w:tblGrid>
            <w:tr w:rsidR="007D5F9E" w:rsidRPr="0000059D" w14:paraId="6D033117" w14:textId="77777777" w:rsidTr="007D5F9E">
              <w:trPr>
                <w:trHeight w:val="81"/>
                <w:jc w:val="center"/>
              </w:trPr>
              <w:tc>
                <w:tcPr>
                  <w:tcW w:w="229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073D255"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 xml:space="preserve">Departamento </w:t>
                  </w:r>
                </w:p>
              </w:tc>
              <w:tc>
                <w:tcPr>
                  <w:tcW w:w="1276"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658F913"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Femenino</w:t>
                  </w:r>
                </w:p>
              </w:tc>
              <w:tc>
                <w:tcPr>
                  <w:tcW w:w="1417"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E57FA7D"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Masculino</w:t>
                  </w:r>
                </w:p>
              </w:tc>
              <w:tc>
                <w:tcPr>
                  <w:tcW w:w="851"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03143CF"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Total</w:t>
                  </w:r>
                </w:p>
              </w:tc>
            </w:tr>
            <w:tr w:rsidR="007D5F9E" w:rsidRPr="0000059D" w14:paraId="3F731470"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E7F37D7"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Caquetá</w:t>
                  </w:r>
                </w:p>
              </w:tc>
              <w:tc>
                <w:tcPr>
                  <w:tcW w:w="1276" w:type="dxa"/>
                  <w:tcBorders>
                    <w:top w:val="nil"/>
                    <w:left w:val="nil"/>
                    <w:bottom w:val="single" w:sz="4" w:space="0" w:color="auto"/>
                    <w:right w:val="single" w:sz="4" w:space="0" w:color="auto"/>
                  </w:tcBorders>
                  <w:shd w:val="clear" w:color="auto" w:fill="auto"/>
                  <w:noWrap/>
                  <w:vAlign w:val="bottom"/>
                  <w:hideMark/>
                </w:tcPr>
                <w:p w14:paraId="618E0FF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56</w:t>
                  </w:r>
                </w:p>
              </w:tc>
              <w:tc>
                <w:tcPr>
                  <w:tcW w:w="1417" w:type="dxa"/>
                  <w:tcBorders>
                    <w:top w:val="nil"/>
                    <w:left w:val="nil"/>
                    <w:bottom w:val="single" w:sz="4" w:space="0" w:color="auto"/>
                    <w:right w:val="single" w:sz="4" w:space="0" w:color="auto"/>
                  </w:tcBorders>
                  <w:shd w:val="clear" w:color="auto" w:fill="auto"/>
                  <w:noWrap/>
                  <w:vAlign w:val="bottom"/>
                  <w:hideMark/>
                </w:tcPr>
                <w:p w14:paraId="22066C6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183</w:t>
                  </w:r>
                </w:p>
              </w:tc>
              <w:tc>
                <w:tcPr>
                  <w:tcW w:w="851" w:type="dxa"/>
                  <w:tcBorders>
                    <w:top w:val="nil"/>
                    <w:left w:val="nil"/>
                    <w:bottom w:val="single" w:sz="4" w:space="0" w:color="auto"/>
                    <w:right w:val="single" w:sz="4" w:space="0" w:color="auto"/>
                  </w:tcBorders>
                  <w:shd w:val="clear" w:color="auto" w:fill="auto"/>
                  <w:noWrap/>
                  <w:vAlign w:val="bottom"/>
                  <w:hideMark/>
                </w:tcPr>
                <w:p w14:paraId="6B79EC8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239</w:t>
                  </w:r>
                </w:p>
              </w:tc>
            </w:tr>
            <w:tr w:rsidR="007D5F9E" w:rsidRPr="0000059D" w14:paraId="3FF30088"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E3E507"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Antioquia</w:t>
                  </w:r>
                </w:p>
              </w:tc>
              <w:tc>
                <w:tcPr>
                  <w:tcW w:w="1276" w:type="dxa"/>
                  <w:tcBorders>
                    <w:top w:val="nil"/>
                    <w:left w:val="nil"/>
                    <w:bottom w:val="single" w:sz="4" w:space="0" w:color="auto"/>
                    <w:right w:val="single" w:sz="4" w:space="0" w:color="auto"/>
                  </w:tcBorders>
                  <w:shd w:val="clear" w:color="auto" w:fill="auto"/>
                  <w:noWrap/>
                  <w:vAlign w:val="bottom"/>
                  <w:hideMark/>
                </w:tcPr>
                <w:p w14:paraId="0DD61D4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53</w:t>
                  </w:r>
                </w:p>
              </w:tc>
              <w:tc>
                <w:tcPr>
                  <w:tcW w:w="1417" w:type="dxa"/>
                  <w:tcBorders>
                    <w:top w:val="nil"/>
                    <w:left w:val="nil"/>
                    <w:bottom w:val="single" w:sz="4" w:space="0" w:color="auto"/>
                    <w:right w:val="single" w:sz="4" w:space="0" w:color="auto"/>
                  </w:tcBorders>
                  <w:shd w:val="clear" w:color="auto" w:fill="auto"/>
                  <w:noWrap/>
                  <w:vAlign w:val="bottom"/>
                  <w:hideMark/>
                </w:tcPr>
                <w:p w14:paraId="6A2EF20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173</w:t>
                  </w:r>
                </w:p>
              </w:tc>
              <w:tc>
                <w:tcPr>
                  <w:tcW w:w="851" w:type="dxa"/>
                  <w:tcBorders>
                    <w:top w:val="nil"/>
                    <w:left w:val="nil"/>
                    <w:bottom w:val="single" w:sz="4" w:space="0" w:color="auto"/>
                    <w:right w:val="single" w:sz="4" w:space="0" w:color="auto"/>
                  </w:tcBorders>
                  <w:shd w:val="clear" w:color="auto" w:fill="auto"/>
                  <w:noWrap/>
                  <w:vAlign w:val="bottom"/>
                  <w:hideMark/>
                </w:tcPr>
                <w:p w14:paraId="2608F02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226</w:t>
                  </w:r>
                </w:p>
              </w:tc>
            </w:tr>
            <w:tr w:rsidR="007D5F9E" w:rsidRPr="0000059D" w14:paraId="4927131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86849DB"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Meta</w:t>
                  </w:r>
                </w:p>
              </w:tc>
              <w:tc>
                <w:tcPr>
                  <w:tcW w:w="1276" w:type="dxa"/>
                  <w:tcBorders>
                    <w:top w:val="nil"/>
                    <w:left w:val="nil"/>
                    <w:bottom w:val="single" w:sz="4" w:space="0" w:color="auto"/>
                    <w:right w:val="single" w:sz="4" w:space="0" w:color="auto"/>
                  </w:tcBorders>
                  <w:shd w:val="clear" w:color="auto" w:fill="auto"/>
                  <w:noWrap/>
                  <w:vAlign w:val="bottom"/>
                  <w:hideMark/>
                </w:tcPr>
                <w:p w14:paraId="03E6385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58</w:t>
                  </w:r>
                </w:p>
              </w:tc>
              <w:tc>
                <w:tcPr>
                  <w:tcW w:w="1417" w:type="dxa"/>
                  <w:tcBorders>
                    <w:top w:val="nil"/>
                    <w:left w:val="nil"/>
                    <w:bottom w:val="single" w:sz="4" w:space="0" w:color="auto"/>
                    <w:right w:val="single" w:sz="4" w:space="0" w:color="auto"/>
                  </w:tcBorders>
                  <w:shd w:val="clear" w:color="auto" w:fill="auto"/>
                  <w:noWrap/>
                  <w:vAlign w:val="bottom"/>
                  <w:hideMark/>
                </w:tcPr>
                <w:p w14:paraId="320C3D0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120</w:t>
                  </w:r>
                </w:p>
              </w:tc>
              <w:tc>
                <w:tcPr>
                  <w:tcW w:w="851" w:type="dxa"/>
                  <w:tcBorders>
                    <w:top w:val="nil"/>
                    <w:left w:val="nil"/>
                    <w:bottom w:val="single" w:sz="4" w:space="0" w:color="auto"/>
                    <w:right w:val="single" w:sz="4" w:space="0" w:color="auto"/>
                  </w:tcBorders>
                  <w:shd w:val="clear" w:color="auto" w:fill="auto"/>
                  <w:noWrap/>
                  <w:vAlign w:val="bottom"/>
                  <w:hideMark/>
                </w:tcPr>
                <w:p w14:paraId="1A8DB35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178</w:t>
                  </w:r>
                </w:p>
              </w:tc>
            </w:tr>
            <w:tr w:rsidR="007D5F9E" w:rsidRPr="0000059D" w14:paraId="5E926B4A"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B140915"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Norte de Santander</w:t>
                  </w:r>
                </w:p>
              </w:tc>
              <w:tc>
                <w:tcPr>
                  <w:tcW w:w="1276" w:type="dxa"/>
                  <w:tcBorders>
                    <w:top w:val="nil"/>
                    <w:left w:val="nil"/>
                    <w:bottom w:val="single" w:sz="4" w:space="0" w:color="auto"/>
                    <w:right w:val="single" w:sz="4" w:space="0" w:color="auto"/>
                  </w:tcBorders>
                  <w:shd w:val="clear" w:color="auto" w:fill="auto"/>
                  <w:noWrap/>
                  <w:vAlign w:val="bottom"/>
                  <w:hideMark/>
                </w:tcPr>
                <w:p w14:paraId="4AAD5F8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16</w:t>
                  </w:r>
                </w:p>
              </w:tc>
              <w:tc>
                <w:tcPr>
                  <w:tcW w:w="1417" w:type="dxa"/>
                  <w:tcBorders>
                    <w:top w:val="nil"/>
                    <w:left w:val="nil"/>
                    <w:bottom w:val="single" w:sz="4" w:space="0" w:color="auto"/>
                    <w:right w:val="single" w:sz="4" w:space="0" w:color="auto"/>
                  </w:tcBorders>
                  <w:shd w:val="clear" w:color="auto" w:fill="auto"/>
                  <w:noWrap/>
                  <w:vAlign w:val="bottom"/>
                  <w:hideMark/>
                </w:tcPr>
                <w:p w14:paraId="7836329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115</w:t>
                  </w:r>
                </w:p>
              </w:tc>
              <w:tc>
                <w:tcPr>
                  <w:tcW w:w="851" w:type="dxa"/>
                  <w:tcBorders>
                    <w:top w:val="nil"/>
                    <w:left w:val="nil"/>
                    <w:bottom w:val="single" w:sz="4" w:space="0" w:color="auto"/>
                    <w:right w:val="single" w:sz="4" w:space="0" w:color="auto"/>
                  </w:tcBorders>
                  <w:shd w:val="clear" w:color="auto" w:fill="auto"/>
                  <w:noWrap/>
                  <w:vAlign w:val="bottom"/>
                  <w:hideMark/>
                </w:tcPr>
                <w:p w14:paraId="523F399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131</w:t>
                  </w:r>
                </w:p>
              </w:tc>
            </w:tr>
            <w:tr w:rsidR="007D5F9E" w:rsidRPr="0000059D" w14:paraId="584CA6B9"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22AF09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Putumayo</w:t>
                  </w:r>
                </w:p>
              </w:tc>
              <w:tc>
                <w:tcPr>
                  <w:tcW w:w="1276" w:type="dxa"/>
                  <w:tcBorders>
                    <w:top w:val="nil"/>
                    <w:left w:val="nil"/>
                    <w:bottom w:val="single" w:sz="4" w:space="0" w:color="auto"/>
                    <w:right w:val="single" w:sz="4" w:space="0" w:color="auto"/>
                  </w:tcBorders>
                  <w:shd w:val="clear" w:color="auto" w:fill="auto"/>
                  <w:noWrap/>
                  <w:vAlign w:val="bottom"/>
                  <w:hideMark/>
                </w:tcPr>
                <w:p w14:paraId="345DA51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17</w:t>
                  </w:r>
                </w:p>
              </w:tc>
              <w:tc>
                <w:tcPr>
                  <w:tcW w:w="1417" w:type="dxa"/>
                  <w:tcBorders>
                    <w:top w:val="nil"/>
                    <w:left w:val="nil"/>
                    <w:bottom w:val="single" w:sz="4" w:space="0" w:color="auto"/>
                    <w:right w:val="single" w:sz="4" w:space="0" w:color="auto"/>
                  </w:tcBorders>
                  <w:shd w:val="clear" w:color="auto" w:fill="auto"/>
                  <w:noWrap/>
                  <w:vAlign w:val="bottom"/>
                  <w:hideMark/>
                </w:tcPr>
                <w:p w14:paraId="0793D02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94</w:t>
                  </w:r>
                </w:p>
              </w:tc>
              <w:tc>
                <w:tcPr>
                  <w:tcW w:w="851" w:type="dxa"/>
                  <w:tcBorders>
                    <w:top w:val="nil"/>
                    <w:left w:val="nil"/>
                    <w:bottom w:val="single" w:sz="4" w:space="0" w:color="auto"/>
                    <w:right w:val="single" w:sz="4" w:space="0" w:color="auto"/>
                  </w:tcBorders>
                  <w:shd w:val="clear" w:color="auto" w:fill="auto"/>
                  <w:noWrap/>
                  <w:vAlign w:val="bottom"/>
                  <w:hideMark/>
                </w:tcPr>
                <w:p w14:paraId="4CA45B3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111</w:t>
                  </w:r>
                </w:p>
              </w:tc>
            </w:tr>
            <w:tr w:rsidR="007D5F9E" w:rsidRPr="0000059D" w14:paraId="7EFA3EB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0FA4DB34"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Valle del Cauca</w:t>
                  </w:r>
                </w:p>
              </w:tc>
              <w:tc>
                <w:tcPr>
                  <w:tcW w:w="1276" w:type="dxa"/>
                  <w:tcBorders>
                    <w:top w:val="nil"/>
                    <w:left w:val="nil"/>
                    <w:bottom w:val="single" w:sz="4" w:space="0" w:color="auto"/>
                    <w:right w:val="single" w:sz="4" w:space="0" w:color="auto"/>
                  </w:tcBorders>
                  <w:shd w:val="clear" w:color="auto" w:fill="auto"/>
                  <w:noWrap/>
                  <w:vAlign w:val="bottom"/>
                  <w:hideMark/>
                </w:tcPr>
                <w:p w14:paraId="427A251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c>
                <w:tcPr>
                  <w:tcW w:w="1417" w:type="dxa"/>
                  <w:tcBorders>
                    <w:top w:val="nil"/>
                    <w:left w:val="nil"/>
                    <w:bottom w:val="single" w:sz="4" w:space="0" w:color="auto"/>
                    <w:right w:val="single" w:sz="4" w:space="0" w:color="auto"/>
                  </w:tcBorders>
                  <w:shd w:val="clear" w:color="auto" w:fill="auto"/>
                  <w:noWrap/>
                  <w:vAlign w:val="bottom"/>
                  <w:hideMark/>
                </w:tcPr>
                <w:p w14:paraId="62EED7D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81</w:t>
                  </w:r>
                </w:p>
              </w:tc>
              <w:tc>
                <w:tcPr>
                  <w:tcW w:w="851" w:type="dxa"/>
                  <w:tcBorders>
                    <w:top w:val="nil"/>
                    <w:left w:val="nil"/>
                    <w:bottom w:val="single" w:sz="4" w:space="0" w:color="auto"/>
                    <w:right w:val="single" w:sz="4" w:space="0" w:color="auto"/>
                  </w:tcBorders>
                  <w:shd w:val="clear" w:color="auto" w:fill="auto"/>
                  <w:noWrap/>
                  <w:vAlign w:val="bottom"/>
                  <w:hideMark/>
                </w:tcPr>
                <w:p w14:paraId="7FDA910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95</w:t>
                  </w:r>
                </w:p>
              </w:tc>
            </w:tr>
            <w:tr w:rsidR="007D5F9E" w:rsidRPr="0000059D" w14:paraId="74B8320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144BA7C"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Huila</w:t>
                  </w:r>
                </w:p>
              </w:tc>
              <w:tc>
                <w:tcPr>
                  <w:tcW w:w="1276" w:type="dxa"/>
                  <w:tcBorders>
                    <w:top w:val="nil"/>
                    <w:left w:val="nil"/>
                    <w:bottom w:val="single" w:sz="4" w:space="0" w:color="auto"/>
                    <w:right w:val="single" w:sz="4" w:space="0" w:color="auto"/>
                  </w:tcBorders>
                  <w:shd w:val="clear" w:color="auto" w:fill="auto"/>
                  <w:noWrap/>
                  <w:vAlign w:val="bottom"/>
                  <w:hideMark/>
                </w:tcPr>
                <w:p w14:paraId="24B3165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23</w:t>
                  </w:r>
                </w:p>
              </w:tc>
              <w:tc>
                <w:tcPr>
                  <w:tcW w:w="1417" w:type="dxa"/>
                  <w:tcBorders>
                    <w:top w:val="nil"/>
                    <w:left w:val="nil"/>
                    <w:bottom w:val="single" w:sz="4" w:space="0" w:color="auto"/>
                    <w:right w:val="single" w:sz="4" w:space="0" w:color="auto"/>
                  </w:tcBorders>
                  <w:shd w:val="clear" w:color="auto" w:fill="auto"/>
                  <w:noWrap/>
                  <w:vAlign w:val="bottom"/>
                  <w:hideMark/>
                </w:tcPr>
                <w:p w14:paraId="056BF1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70</w:t>
                  </w:r>
                </w:p>
              </w:tc>
              <w:tc>
                <w:tcPr>
                  <w:tcW w:w="851" w:type="dxa"/>
                  <w:tcBorders>
                    <w:top w:val="nil"/>
                    <w:left w:val="nil"/>
                    <w:bottom w:val="single" w:sz="4" w:space="0" w:color="auto"/>
                    <w:right w:val="single" w:sz="4" w:space="0" w:color="auto"/>
                  </w:tcBorders>
                  <w:shd w:val="clear" w:color="auto" w:fill="auto"/>
                  <w:noWrap/>
                  <w:vAlign w:val="bottom"/>
                  <w:hideMark/>
                </w:tcPr>
                <w:p w14:paraId="190F22D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93</w:t>
                  </w:r>
                </w:p>
              </w:tc>
            </w:tr>
            <w:tr w:rsidR="007D5F9E" w:rsidRPr="0000059D" w14:paraId="125DE592"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963F88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Cauca</w:t>
                  </w:r>
                </w:p>
              </w:tc>
              <w:tc>
                <w:tcPr>
                  <w:tcW w:w="1276" w:type="dxa"/>
                  <w:tcBorders>
                    <w:top w:val="nil"/>
                    <w:left w:val="nil"/>
                    <w:bottom w:val="single" w:sz="4" w:space="0" w:color="auto"/>
                    <w:right w:val="single" w:sz="4" w:space="0" w:color="auto"/>
                  </w:tcBorders>
                  <w:shd w:val="clear" w:color="auto" w:fill="auto"/>
                  <w:noWrap/>
                  <w:vAlign w:val="bottom"/>
                  <w:hideMark/>
                </w:tcPr>
                <w:p w14:paraId="6B433A7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c>
                <w:tcPr>
                  <w:tcW w:w="1417" w:type="dxa"/>
                  <w:tcBorders>
                    <w:top w:val="nil"/>
                    <w:left w:val="nil"/>
                    <w:bottom w:val="single" w:sz="4" w:space="0" w:color="auto"/>
                    <w:right w:val="single" w:sz="4" w:space="0" w:color="auto"/>
                  </w:tcBorders>
                  <w:shd w:val="clear" w:color="auto" w:fill="auto"/>
                  <w:noWrap/>
                  <w:vAlign w:val="bottom"/>
                  <w:hideMark/>
                </w:tcPr>
                <w:p w14:paraId="0D271A7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78</w:t>
                  </w:r>
                </w:p>
              </w:tc>
              <w:tc>
                <w:tcPr>
                  <w:tcW w:w="851" w:type="dxa"/>
                  <w:tcBorders>
                    <w:top w:val="nil"/>
                    <w:left w:val="nil"/>
                    <w:bottom w:val="single" w:sz="4" w:space="0" w:color="auto"/>
                    <w:right w:val="single" w:sz="4" w:space="0" w:color="auto"/>
                  </w:tcBorders>
                  <w:shd w:val="clear" w:color="auto" w:fill="auto"/>
                  <w:noWrap/>
                  <w:vAlign w:val="bottom"/>
                  <w:hideMark/>
                </w:tcPr>
                <w:p w14:paraId="302EE6E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92</w:t>
                  </w:r>
                </w:p>
              </w:tc>
            </w:tr>
            <w:tr w:rsidR="007D5F9E" w:rsidRPr="0000059D" w14:paraId="1ABF6B2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73CD2DA"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Arauca</w:t>
                  </w:r>
                </w:p>
              </w:tc>
              <w:tc>
                <w:tcPr>
                  <w:tcW w:w="1276" w:type="dxa"/>
                  <w:tcBorders>
                    <w:top w:val="nil"/>
                    <w:left w:val="nil"/>
                    <w:bottom w:val="single" w:sz="4" w:space="0" w:color="auto"/>
                    <w:right w:val="single" w:sz="4" w:space="0" w:color="auto"/>
                  </w:tcBorders>
                  <w:shd w:val="clear" w:color="auto" w:fill="auto"/>
                  <w:noWrap/>
                  <w:vAlign w:val="bottom"/>
                  <w:hideMark/>
                </w:tcPr>
                <w:p w14:paraId="3371D39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28</w:t>
                  </w:r>
                </w:p>
              </w:tc>
              <w:tc>
                <w:tcPr>
                  <w:tcW w:w="1417" w:type="dxa"/>
                  <w:tcBorders>
                    <w:top w:val="nil"/>
                    <w:left w:val="nil"/>
                    <w:bottom w:val="single" w:sz="4" w:space="0" w:color="auto"/>
                    <w:right w:val="single" w:sz="4" w:space="0" w:color="auto"/>
                  </w:tcBorders>
                  <w:shd w:val="clear" w:color="auto" w:fill="auto"/>
                  <w:noWrap/>
                  <w:vAlign w:val="bottom"/>
                  <w:hideMark/>
                </w:tcPr>
                <w:p w14:paraId="30CFB60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59</w:t>
                  </w:r>
                </w:p>
              </w:tc>
              <w:tc>
                <w:tcPr>
                  <w:tcW w:w="851" w:type="dxa"/>
                  <w:tcBorders>
                    <w:top w:val="nil"/>
                    <w:left w:val="nil"/>
                    <w:bottom w:val="single" w:sz="4" w:space="0" w:color="auto"/>
                    <w:right w:val="single" w:sz="4" w:space="0" w:color="auto"/>
                  </w:tcBorders>
                  <w:shd w:val="clear" w:color="auto" w:fill="auto"/>
                  <w:noWrap/>
                  <w:vAlign w:val="bottom"/>
                  <w:hideMark/>
                </w:tcPr>
                <w:p w14:paraId="2B87FB4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87</w:t>
                  </w:r>
                </w:p>
              </w:tc>
            </w:tr>
            <w:tr w:rsidR="007D5F9E" w:rsidRPr="0000059D" w14:paraId="2E9152C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7E458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Tolima</w:t>
                  </w:r>
                </w:p>
              </w:tc>
              <w:tc>
                <w:tcPr>
                  <w:tcW w:w="1276" w:type="dxa"/>
                  <w:tcBorders>
                    <w:top w:val="nil"/>
                    <w:left w:val="nil"/>
                    <w:bottom w:val="single" w:sz="4" w:space="0" w:color="auto"/>
                    <w:right w:val="single" w:sz="4" w:space="0" w:color="auto"/>
                  </w:tcBorders>
                  <w:shd w:val="clear" w:color="auto" w:fill="auto"/>
                  <w:noWrap/>
                  <w:vAlign w:val="bottom"/>
                  <w:hideMark/>
                </w:tcPr>
                <w:p w14:paraId="533F2DA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c>
                <w:tcPr>
                  <w:tcW w:w="1417" w:type="dxa"/>
                  <w:tcBorders>
                    <w:top w:val="nil"/>
                    <w:left w:val="nil"/>
                    <w:bottom w:val="single" w:sz="4" w:space="0" w:color="auto"/>
                    <w:right w:val="single" w:sz="4" w:space="0" w:color="auto"/>
                  </w:tcBorders>
                  <w:shd w:val="clear" w:color="auto" w:fill="auto"/>
                  <w:noWrap/>
                  <w:vAlign w:val="bottom"/>
                  <w:hideMark/>
                </w:tcPr>
                <w:p w14:paraId="39C6598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65</w:t>
                  </w:r>
                </w:p>
              </w:tc>
              <w:tc>
                <w:tcPr>
                  <w:tcW w:w="851" w:type="dxa"/>
                  <w:tcBorders>
                    <w:top w:val="nil"/>
                    <w:left w:val="nil"/>
                    <w:bottom w:val="single" w:sz="4" w:space="0" w:color="auto"/>
                    <w:right w:val="single" w:sz="4" w:space="0" w:color="auto"/>
                  </w:tcBorders>
                  <w:shd w:val="clear" w:color="auto" w:fill="auto"/>
                  <w:noWrap/>
                  <w:vAlign w:val="bottom"/>
                  <w:hideMark/>
                </w:tcPr>
                <w:p w14:paraId="0966247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79</w:t>
                  </w:r>
                </w:p>
              </w:tc>
            </w:tr>
            <w:tr w:rsidR="007D5F9E" w:rsidRPr="0000059D" w14:paraId="3F00FFEA"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8207D13"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La Guajira</w:t>
                  </w:r>
                </w:p>
              </w:tc>
              <w:tc>
                <w:tcPr>
                  <w:tcW w:w="1276" w:type="dxa"/>
                  <w:tcBorders>
                    <w:top w:val="nil"/>
                    <w:left w:val="nil"/>
                    <w:bottom w:val="single" w:sz="4" w:space="0" w:color="auto"/>
                    <w:right w:val="single" w:sz="4" w:space="0" w:color="auto"/>
                  </w:tcBorders>
                  <w:shd w:val="clear" w:color="auto" w:fill="auto"/>
                  <w:noWrap/>
                  <w:vAlign w:val="bottom"/>
                  <w:hideMark/>
                </w:tcPr>
                <w:p w14:paraId="316AF5E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16</w:t>
                  </w:r>
                </w:p>
              </w:tc>
              <w:tc>
                <w:tcPr>
                  <w:tcW w:w="1417" w:type="dxa"/>
                  <w:tcBorders>
                    <w:top w:val="nil"/>
                    <w:left w:val="nil"/>
                    <w:bottom w:val="single" w:sz="4" w:space="0" w:color="auto"/>
                    <w:right w:val="single" w:sz="4" w:space="0" w:color="auto"/>
                  </w:tcBorders>
                  <w:shd w:val="clear" w:color="auto" w:fill="auto"/>
                  <w:noWrap/>
                  <w:vAlign w:val="bottom"/>
                  <w:hideMark/>
                </w:tcPr>
                <w:p w14:paraId="6F687B0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57</w:t>
                  </w:r>
                </w:p>
              </w:tc>
              <w:tc>
                <w:tcPr>
                  <w:tcW w:w="851" w:type="dxa"/>
                  <w:tcBorders>
                    <w:top w:val="nil"/>
                    <w:left w:val="nil"/>
                    <w:bottom w:val="single" w:sz="4" w:space="0" w:color="auto"/>
                    <w:right w:val="single" w:sz="4" w:space="0" w:color="auto"/>
                  </w:tcBorders>
                  <w:shd w:val="clear" w:color="auto" w:fill="auto"/>
                  <w:noWrap/>
                  <w:vAlign w:val="bottom"/>
                  <w:hideMark/>
                </w:tcPr>
                <w:p w14:paraId="1643B84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73</w:t>
                  </w:r>
                </w:p>
              </w:tc>
            </w:tr>
            <w:tr w:rsidR="007D5F9E" w:rsidRPr="0000059D" w14:paraId="799C3703"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4668D79"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Cundinamarca</w:t>
                  </w:r>
                </w:p>
              </w:tc>
              <w:tc>
                <w:tcPr>
                  <w:tcW w:w="1276" w:type="dxa"/>
                  <w:tcBorders>
                    <w:top w:val="nil"/>
                    <w:left w:val="nil"/>
                    <w:bottom w:val="single" w:sz="4" w:space="0" w:color="auto"/>
                    <w:right w:val="single" w:sz="4" w:space="0" w:color="auto"/>
                  </w:tcBorders>
                  <w:shd w:val="clear" w:color="auto" w:fill="auto"/>
                  <w:noWrap/>
                  <w:vAlign w:val="bottom"/>
                  <w:hideMark/>
                </w:tcPr>
                <w:p w14:paraId="0D4E30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24</w:t>
                  </w:r>
                </w:p>
              </w:tc>
              <w:tc>
                <w:tcPr>
                  <w:tcW w:w="1417" w:type="dxa"/>
                  <w:tcBorders>
                    <w:top w:val="nil"/>
                    <w:left w:val="nil"/>
                    <w:bottom w:val="single" w:sz="4" w:space="0" w:color="auto"/>
                    <w:right w:val="single" w:sz="4" w:space="0" w:color="auto"/>
                  </w:tcBorders>
                  <w:shd w:val="clear" w:color="auto" w:fill="auto"/>
                  <w:noWrap/>
                  <w:vAlign w:val="bottom"/>
                  <w:hideMark/>
                </w:tcPr>
                <w:p w14:paraId="0B9A0FC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48</w:t>
                  </w:r>
                </w:p>
              </w:tc>
              <w:tc>
                <w:tcPr>
                  <w:tcW w:w="851" w:type="dxa"/>
                  <w:tcBorders>
                    <w:top w:val="nil"/>
                    <w:left w:val="nil"/>
                    <w:bottom w:val="single" w:sz="4" w:space="0" w:color="auto"/>
                    <w:right w:val="single" w:sz="4" w:space="0" w:color="auto"/>
                  </w:tcBorders>
                  <w:shd w:val="clear" w:color="auto" w:fill="auto"/>
                  <w:noWrap/>
                  <w:vAlign w:val="bottom"/>
                  <w:hideMark/>
                </w:tcPr>
                <w:p w14:paraId="305CF7D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72</w:t>
                  </w:r>
                </w:p>
              </w:tc>
            </w:tr>
            <w:tr w:rsidR="007D5F9E" w:rsidRPr="0000059D" w14:paraId="62C52B59"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8F7545D"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Guaviare</w:t>
                  </w:r>
                </w:p>
              </w:tc>
              <w:tc>
                <w:tcPr>
                  <w:tcW w:w="1276" w:type="dxa"/>
                  <w:tcBorders>
                    <w:top w:val="nil"/>
                    <w:left w:val="nil"/>
                    <w:bottom w:val="single" w:sz="4" w:space="0" w:color="auto"/>
                    <w:right w:val="single" w:sz="4" w:space="0" w:color="auto"/>
                  </w:tcBorders>
                  <w:shd w:val="clear" w:color="auto" w:fill="auto"/>
                  <w:noWrap/>
                  <w:vAlign w:val="bottom"/>
                  <w:hideMark/>
                </w:tcPr>
                <w:p w14:paraId="436C71B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26</w:t>
                  </w:r>
                </w:p>
              </w:tc>
              <w:tc>
                <w:tcPr>
                  <w:tcW w:w="1417" w:type="dxa"/>
                  <w:tcBorders>
                    <w:top w:val="nil"/>
                    <w:left w:val="nil"/>
                    <w:bottom w:val="single" w:sz="4" w:space="0" w:color="auto"/>
                    <w:right w:val="single" w:sz="4" w:space="0" w:color="auto"/>
                  </w:tcBorders>
                  <w:shd w:val="clear" w:color="auto" w:fill="auto"/>
                  <w:noWrap/>
                  <w:vAlign w:val="bottom"/>
                  <w:hideMark/>
                </w:tcPr>
                <w:p w14:paraId="3254468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32</w:t>
                  </w:r>
                </w:p>
              </w:tc>
              <w:tc>
                <w:tcPr>
                  <w:tcW w:w="851" w:type="dxa"/>
                  <w:tcBorders>
                    <w:top w:val="nil"/>
                    <w:left w:val="nil"/>
                    <w:bottom w:val="single" w:sz="4" w:space="0" w:color="auto"/>
                    <w:right w:val="single" w:sz="4" w:space="0" w:color="auto"/>
                  </w:tcBorders>
                  <w:shd w:val="clear" w:color="auto" w:fill="auto"/>
                  <w:noWrap/>
                  <w:vAlign w:val="bottom"/>
                  <w:hideMark/>
                </w:tcPr>
                <w:p w14:paraId="6622DEA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58</w:t>
                  </w:r>
                </w:p>
              </w:tc>
            </w:tr>
            <w:tr w:rsidR="007D5F9E" w:rsidRPr="0000059D" w14:paraId="3D3EED87"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11CDE62"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Nariño</w:t>
                  </w:r>
                </w:p>
              </w:tc>
              <w:tc>
                <w:tcPr>
                  <w:tcW w:w="1276" w:type="dxa"/>
                  <w:tcBorders>
                    <w:top w:val="nil"/>
                    <w:left w:val="nil"/>
                    <w:bottom w:val="single" w:sz="4" w:space="0" w:color="auto"/>
                    <w:right w:val="single" w:sz="4" w:space="0" w:color="auto"/>
                  </w:tcBorders>
                  <w:shd w:val="clear" w:color="auto" w:fill="auto"/>
                  <w:noWrap/>
                  <w:vAlign w:val="bottom"/>
                  <w:hideMark/>
                </w:tcPr>
                <w:p w14:paraId="0B8C226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18</w:t>
                  </w:r>
                </w:p>
              </w:tc>
              <w:tc>
                <w:tcPr>
                  <w:tcW w:w="1417" w:type="dxa"/>
                  <w:tcBorders>
                    <w:top w:val="nil"/>
                    <w:left w:val="nil"/>
                    <w:bottom w:val="single" w:sz="4" w:space="0" w:color="auto"/>
                    <w:right w:val="single" w:sz="4" w:space="0" w:color="auto"/>
                  </w:tcBorders>
                  <w:shd w:val="clear" w:color="auto" w:fill="auto"/>
                  <w:noWrap/>
                  <w:vAlign w:val="bottom"/>
                  <w:hideMark/>
                </w:tcPr>
                <w:p w14:paraId="1A10AA3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35</w:t>
                  </w:r>
                </w:p>
              </w:tc>
              <w:tc>
                <w:tcPr>
                  <w:tcW w:w="851" w:type="dxa"/>
                  <w:tcBorders>
                    <w:top w:val="nil"/>
                    <w:left w:val="nil"/>
                    <w:bottom w:val="single" w:sz="4" w:space="0" w:color="auto"/>
                    <w:right w:val="single" w:sz="4" w:space="0" w:color="auto"/>
                  </w:tcBorders>
                  <w:shd w:val="clear" w:color="auto" w:fill="auto"/>
                  <w:noWrap/>
                  <w:vAlign w:val="bottom"/>
                  <w:hideMark/>
                </w:tcPr>
                <w:p w14:paraId="0C5F40A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53</w:t>
                  </w:r>
                </w:p>
              </w:tc>
            </w:tr>
            <w:tr w:rsidR="007D5F9E" w:rsidRPr="0000059D" w14:paraId="1760C1AC"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22B1EBF"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Bogotá, D.C.</w:t>
                  </w:r>
                </w:p>
              </w:tc>
              <w:tc>
                <w:tcPr>
                  <w:tcW w:w="1276" w:type="dxa"/>
                  <w:tcBorders>
                    <w:top w:val="nil"/>
                    <w:left w:val="nil"/>
                    <w:bottom w:val="single" w:sz="4" w:space="0" w:color="auto"/>
                    <w:right w:val="single" w:sz="4" w:space="0" w:color="auto"/>
                  </w:tcBorders>
                  <w:shd w:val="clear" w:color="auto" w:fill="auto"/>
                  <w:noWrap/>
                  <w:vAlign w:val="bottom"/>
                  <w:hideMark/>
                </w:tcPr>
                <w:p w14:paraId="3B4762E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c>
                <w:tcPr>
                  <w:tcW w:w="1417" w:type="dxa"/>
                  <w:tcBorders>
                    <w:top w:val="nil"/>
                    <w:left w:val="nil"/>
                    <w:bottom w:val="single" w:sz="4" w:space="0" w:color="auto"/>
                    <w:right w:val="single" w:sz="4" w:space="0" w:color="auto"/>
                  </w:tcBorders>
                  <w:shd w:val="clear" w:color="auto" w:fill="auto"/>
                  <w:noWrap/>
                  <w:vAlign w:val="bottom"/>
                  <w:hideMark/>
                </w:tcPr>
                <w:p w14:paraId="3CA9DF6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37</w:t>
                  </w:r>
                </w:p>
              </w:tc>
              <w:tc>
                <w:tcPr>
                  <w:tcW w:w="851" w:type="dxa"/>
                  <w:tcBorders>
                    <w:top w:val="nil"/>
                    <w:left w:val="nil"/>
                    <w:bottom w:val="single" w:sz="4" w:space="0" w:color="auto"/>
                    <w:right w:val="single" w:sz="4" w:space="0" w:color="auto"/>
                  </w:tcBorders>
                  <w:shd w:val="clear" w:color="auto" w:fill="auto"/>
                  <w:noWrap/>
                  <w:vAlign w:val="bottom"/>
                  <w:hideMark/>
                </w:tcPr>
                <w:p w14:paraId="5BEC680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46</w:t>
                  </w:r>
                </w:p>
              </w:tc>
            </w:tr>
            <w:tr w:rsidR="007D5F9E" w:rsidRPr="0000059D" w14:paraId="2781DDC2"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5F29C2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Bolívar</w:t>
                  </w:r>
                </w:p>
              </w:tc>
              <w:tc>
                <w:tcPr>
                  <w:tcW w:w="1276" w:type="dxa"/>
                  <w:tcBorders>
                    <w:top w:val="nil"/>
                    <w:left w:val="nil"/>
                    <w:bottom w:val="single" w:sz="4" w:space="0" w:color="auto"/>
                    <w:right w:val="single" w:sz="4" w:space="0" w:color="auto"/>
                  </w:tcBorders>
                  <w:shd w:val="clear" w:color="auto" w:fill="auto"/>
                  <w:noWrap/>
                  <w:vAlign w:val="bottom"/>
                  <w:hideMark/>
                </w:tcPr>
                <w:p w14:paraId="775C841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w:t>
                  </w:r>
                </w:p>
              </w:tc>
              <w:tc>
                <w:tcPr>
                  <w:tcW w:w="1417" w:type="dxa"/>
                  <w:tcBorders>
                    <w:top w:val="nil"/>
                    <w:left w:val="nil"/>
                    <w:bottom w:val="single" w:sz="4" w:space="0" w:color="auto"/>
                    <w:right w:val="single" w:sz="4" w:space="0" w:color="auto"/>
                  </w:tcBorders>
                  <w:shd w:val="clear" w:color="auto" w:fill="auto"/>
                  <w:noWrap/>
                  <w:vAlign w:val="bottom"/>
                  <w:hideMark/>
                </w:tcPr>
                <w:p w14:paraId="33453C8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31</w:t>
                  </w:r>
                </w:p>
              </w:tc>
              <w:tc>
                <w:tcPr>
                  <w:tcW w:w="851" w:type="dxa"/>
                  <w:tcBorders>
                    <w:top w:val="nil"/>
                    <w:left w:val="nil"/>
                    <w:bottom w:val="single" w:sz="4" w:space="0" w:color="auto"/>
                    <w:right w:val="single" w:sz="4" w:space="0" w:color="auto"/>
                  </w:tcBorders>
                  <w:shd w:val="clear" w:color="auto" w:fill="auto"/>
                  <w:noWrap/>
                  <w:vAlign w:val="bottom"/>
                  <w:hideMark/>
                </w:tcPr>
                <w:p w14:paraId="0230DC5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38</w:t>
                  </w:r>
                </w:p>
              </w:tc>
            </w:tr>
            <w:tr w:rsidR="007D5F9E" w:rsidRPr="0000059D" w14:paraId="2F3292AA"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C252163"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Chocó</w:t>
                  </w:r>
                </w:p>
              </w:tc>
              <w:tc>
                <w:tcPr>
                  <w:tcW w:w="1276" w:type="dxa"/>
                  <w:tcBorders>
                    <w:top w:val="nil"/>
                    <w:left w:val="nil"/>
                    <w:bottom w:val="single" w:sz="4" w:space="0" w:color="auto"/>
                    <w:right w:val="single" w:sz="4" w:space="0" w:color="auto"/>
                  </w:tcBorders>
                  <w:shd w:val="clear" w:color="auto" w:fill="auto"/>
                  <w:noWrap/>
                  <w:vAlign w:val="bottom"/>
                  <w:hideMark/>
                </w:tcPr>
                <w:p w14:paraId="777EAF8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14:paraId="521FA7D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29</w:t>
                  </w:r>
                </w:p>
              </w:tc>
              <w:tc>
                <w:tcPr>
                  <w:tcW w:w="851" w:type="dxa"/>
                  <w:tcBorders>
                    <w:top w:val="nil"/>
                    <w:left w:val="nil"/>
                    <w:bottom w:val="single" w:sz="4" w:space="0" w:color="auto"/>
                    <w:right w:val="single" w:sz="4" w:space="0" w:color="auto"/>
                  </w:tcBorders>
                  <w:shd w:val="clear" w:color="auto" w:fill="auto"/>
                  <w:noWrap/>
                  <w:vAlign w:val="bottom"/>
                  <w:hideMark/>
                </w:tcPr>
                <w:p w14:paraId="237734D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33</w:t>
                  </w:r>
                </w:p>
              </w:tc>
            </w:tr>
            <w:tr w:rsidR="007D5F9E" w:rsidRPr="0000059D" w14:paraId="5F5DF2E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23161F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Sucre</w:t>
                  </w:r>
                </w:p>
              </w:tc>
              <w:tc>
                <w:tcPr>
                  <w:tcW w:w="1276" w:type="dxa"/>
                  <w:tcBorders>
                    <w:top w:val="nil"/>
                    <w:left w:val="nil"/>
                    <w:bottom w:val="single" w:sz="4" w:space="0" w:color="auto"/>
                    <w:right w:val="single" w:sz="4" w:space="0" w:color="auto"/>
                  </w:tcBorders>
                  <w:shd w:val="clear" w:color="auto" w:fill="auto"/>
                  <w:noWrap/>
                  <w:vAlign w:val="bottom"/>
                  <w:hideMark/>
                </w:tcPr>
                <w:p w14:paraId="7B8740C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14:paraId="0ECBFCA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30</w:t>
                  </w:r>
                </w:p>
              </w:tc>
              <w:tc>
                <w:tcPr>
                  <w:tcW w:w="851" w:type="dxa"/>
                  <w:tcBorders>
                    <w:top w:val="nil"/>
                    <w:left w:val="nil"/>
                    <w:bottom w:val="single" w:sz="4" w:space="0" w:color="auto"/>
                    <w:right w:val="single" w:sz="4" w:space="0" w:color="auto"/>
                  </w:tcBorders>
                  <w:shd w:val="clear" w:color="auto" w:fill="auto"/>
                  <w:noWrap/>
                  <w:vAlign w:val="bottom"/>
                  <w:hideMark/>
                </w:tcPr>
                <w:p w14:paraId="42A8C36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33</w:t>
                  </w:r>
                </w:p>
              </w:tc>
            </w:tr>
            <w:tr w:rsidR="007D5F9E" w:rsidRPr="0000059D" w14:paraId="33FFF41D" w14:textId="77777777" w:rsidTr="007D5F9E">
              <w:trPr>
                <w:trHeight w:val="91"/>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23B8A1D"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Córdoba</w:t>
                  </w:r>
                </w:p>
              </w:tc>
              <w:tc>
                <w:tcPr>
                  <w:tcW w:w="1276" w:type="dxa"/>
                  <w:tcBorders>
                    <w:top w:val="nil"/>
                    <w:left w:val="nil"/>
                    <w:bottom w:val="single" w:sz="4" w:space="0" w:color="auto"/>
                    <w:right w:val="single" w:sz="4" w:space="0" w:color="auto"/>
                  </w:tcBorders>
                  <w:shd w:val="clear" w:color="auto" w:fill="auto"/>
                  <w:noWrap/>
                  <w:vAlign w:val="bottom"/>
                  <w:hideMark/>
                </w:tcPr>
                <w:p w14:paraId="312E555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14:paraId="598D16D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24</w:t>
                  </w:r>
                </w:p>
              </w:tc>
              <w:tc>
                <w:tcPr>
                  <w:tcW w:w="851" w:type="dxa"/>
                  <w:tcBorders>
                    <w:top w:val="nil"/>
                    <w:left w:val="nil"/>
                    <w:bottom w:val="single" w:sz="4" w:space="0" w:color="auto"/>
                    <w:right w:val="single" w:sz="4" w:space="0" w:color="auto"/>
                  </w:tcBorders>
                  <w:shd w:val="clear" w:color="auto" w:fill="auto"/>
                  <w:noWrap/>
                  <w:vAlign w:val="bottom"/>
                  <w:hideMark/>
                </w:tcPr>
                <w:p w14:paraId="14B30CD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27</w:t>
                  </w:r>
                </w:p>
              </w:tc>
            </w:tr>
            <w:tr w:rsidR="007D5F9E" w:rsidRPr="0000059D" w14:paraId="13BCEA1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D44C0D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Santander</w:t>
                  </w:r>
                </w:p>
              </w:tc>
              <w:tc>
                <w:tcPr>
                  <w:tcW w:w="1276" w:type="dxa"/>
                  <w:tcBorders>
                    <w:top w:val="nil"/>
                    <w:left w:val="nil"/>
                    <w:bottom w:val="single" w:sz="4" w:space="0" w:color="auto"/>
                    <w:right w:val="single" w:sz="4" w:space="0" w:color="auto"/>
                  </w:tcBorders>
                  <w:shd w:val="clear" w:color="auto" w:fill="auto"/>
                  <w:noWrap/>
                  <w:vAlign w:val="bottom"/>
                  <w:hideMark/>
                </w:tcPr>
                <w:p w14:paraId="51A7F7A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1417" w:type="dxa"/>
                  <w:tcBorders>
                    <w:top w:val="nil"/>
                    <w:left w:val="nil"/>
                    <w:bottom w:val="single" w:sz="4" w:space="0" w:color="auto"/>
                    <w:right w:val="single" w:sz="4" w:space="0" w:color="auto"/>
                  </w:tcBorders>
                  <w:shd w:val="clear" w:color="auto" w:fill="auto"/>
                  <w:noWrap/>
                  <w:vAlign w:val="bottom"/>
                  <w:hideMark/>
                </w:tcPr>
                <w:p w14:paraId="33D507B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19</w:t>
                  </w:r>
                </w:p>
              </w:tc>
              <w:tc>
                <w:tcPr>
                  <w:tcW w:w="851" w:type="dxa"/>
                  <w:tcBorders>
                    <w:top w:val="nil"/>
                    <w:left w:val="nil"/>
                    <w:bottom w:val="single" w:sz="4" w:space="0" w:color="auto"/>
                    <w:right w:val="single" w:sz="4" w:space="0" w:color="auto"/>
                  </w:tcBorders>
                  <w:shd w:val="clear" w:color="auto" w:fill="auto"/>
                  <w:noWrap/>
                  <w:vAlign w:val="bottom"/>
                  <w:hideMark/>
                </w:tcPr>
                <w:p w14:paraId="0E95612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27</w:t>
                  </w:r>
                </w:p>
              </w:tc>
            </w:tr>
            <w:tr w:rsidR="007D5F9E" w:rsidRPr="0000059D" w14:paraId="2DC97208"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16C39EF"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Atlántico</w:t>
                  </w:r>
                </w:p>
              </w:tc>
              <w:tc>
                <w:tcPr>
                  <w:tcW w:w="1276" w:type="dxa"/>
                  <w:tcBorders>
                    <w:top w:val="nil"/>
                    <w:left w:val="nil"/>
                    <w:bottom w:val="single" w:sz="4" w:space="0" w:color="auto"/>
                    <w:right w:val="single" w:sz="4" w:space="0" w:color="auto"/>
                  </w:tcBorders>
                  <w:shd w:val="clear" w:color="auto" w:fill="auto"/>
                  <w:noWrap/>
                  <w:vAlign w:val="bottom"/>
                  <w:hideMark/>
                </w:tcPr>
                <w:p w14:paraId="3FF762A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c>
                <w:tcPr>
                  <w:tcW w:w="1417" w:type="dxa"/>
                  <w:tcBorders>
                    <w:top w:val="nil"/>
                    <w:left w:val="nil"/>
                    <w:bottom w:val="single" w:sz="4" w:space="0" w:color="auto"/>
                    <w:right w:val="single" w:sz="4" w:space="0" w:color="auto"/>
                  </w:tcBorders>
                  <w:shd w:val="clear" w:color="auto" w:fill="auto"/>
                  <w:noWrap/>
                  <w:vAlign w:val="bottom"/>
                  <w:hideMark/>
                </w:tcPr>
                <w:p w14:paraId="1090C94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1D85B6F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20</w:t>
                  </w:r>
                </w:p>
              </w:tc>
            </w:tr>
            <w:tr w:rsidR="007D5F9E" w:rsidRPr="0000059D" w14:paraId="07F3464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4287540"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Cesar</w:t>
                  </w:r>
                </w:p>
              </w:tc>
              <w:tc>
                <w:tcPr>
                  <w:tcW w:w="1276" w:type="dxa"/>
                  <w:tcBorders>
                    <w:top w:val="nil"/>
                    <w:left w:val="nil"/>
                    <w:bottom w:val="single" w:sz="4" w:space="0" w:color="auto"/>
                    <w:right w:val="single" w:sz="4" w:space="0" w:color="auto"/>
                  </w:tcBorders>
                  <w:shd w:val="clear" w:color="auto" w:fill="auto"/>
                  <w:noWrap/>
                  <w:vAlign w:val="bottom"/>
                  <w:hideMark/>
                </w:tcPr>
                <w:p w14:paraId="3F26D1A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14:paraId="4F45860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3933814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15</w:t>
                  </w:r>
                </w:p>
              </w:tc>
            </w:tr>
            <w:tr w:rsidR="007D5F9E" w:rsidRPr="0000059D" w14:paraId="3FAABE6E"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ADAEDB4"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Boyacá</w:t>
                  </w:r>
                </w:p>
              </w:tc>
              <w:tc>
                <w:tcPr>
                  <w:tcW w:w="1276" w:type="dxa"/>
                  <w:tcBorders>
                    <w:top w:val="nil"/>
                    <w:left w:val="nil"/>
                    <w:bottom w:val="single" w:sz="4" w:space="0" w:color="auto"/>
                    <w:right w:val="single" w:sz="4" w:space="0" w:color="auto"/>
                  </w:tcBorders>
                  <w:shd w:val="clear" w:color="auto" w:fill="auto"/>
                  <w:noWrap/>
                  <w:vAlign w:val="bottom"/>
                  <w:hideMark/>
                </w:tcPr>
                <w:p w14:paraId="5BDDCDC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672D599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c>
                <w:tcPr>
                  <w:tcW w:w="851" w:type="dxa"/>
                  <w:tcBorders>
                    <w:top w:val="nil"/>
                    <w:left w:val="nil"/>
                    <w:bottom w:val="single" w:sz="4" w:space="0" w:color="auto"/>
                    <w:right w:val="single" w:sz="4" w:space="0" w:color="auto"/>
                  </w:tcBorders>
                  <w:shd w:val="clear" w:color="auto" w:fill="auto"/>
                  <w:noWrap/>
                  <w:vAlign w:val="bottom"/>
                  <w:hideMark/>
                </w:tcPr>
                <w:p w14:paraId="51D3A69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w:t>
                  </w:r>
                </w:p>
              </w:tc>
            </w:tr>
            <w:tr w:rsidR="007D5F9E" w:rsidRPr="0000059D" w14:paraId="161CAB9E"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458580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Casanare</w:t>
                  </w:r>
                </w:p>
              </w:tc>
              <w:tc>
                <w:tcPr>
                  <w:tcW w:w="1276" w:type="dxa"/>
                  <w:tcBorders>
                    <w:top w:val="nil"/>
                    <w:left w:val="nil"/>
                    <w:bottom w:val="single" w:sz="4" w:space="0" w:color="auto"/>
                    <w:right w:val="single" w:sz="4" w:space="0" w:color="auto"/>
                  </w:tcBorders>
                  <w:shd w:val="clear" w:color="auto" w:fill="auto"/>
                  <w:noWrap/>
                  <w:vAlign w:val="bottom"/>
                  <w:hideMark/>
                </w:tcPr>
                <w:p w14:paraId="1C36DF9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417" w:type="dxa"/>
                  <w:tcBorders>
                    <w:top w:val="nil"/>
                    <w:left w:val="nil"/>
                    <w:bottom w:val="single" w:sz="4" w:space="0" w:color="auto"/>
                    <w:right w:val="single" w:sz="4" w:space="0" w:color="auto"/>
                  </w:tcBorders>
                  <w:shd w:val="clear" w:color="auto" w:fill="auto"/>
                  <w:noWrap/>
                  <w:vAlign w:val="bottom"/>
                  <w:hideMark/>
                </w:tcPr>
                <w:p w14:paraId="002D4B4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851" w:type="dxa"/>
                  <w:tcBorders>
                    <w:top w:val="nil"/>
                    <w:left w:val="nil"/>
                    <w:bottom w:val="single" w:sz="4" w:space="0" w:color="auto"/>
                    <w:right w:val="single" w:sz="4" w:space="0" w:color="auto"/>
                  </w:tcBorders>
                  <w:shd w:val="clear" w:color="auto" w:fill="auto"/>
                  <w:noWrap/>
                  <w:vAlign w:val="bottom"/>
                  <w:hideMark/>
                </w:tcPr>
                <w:p w14:paraId="64AE847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w:t>
                  </w:r>
                </w:p>
              </w:tc>
            </w:tr>
            <w:tr w:rsidR="007D5F9E" w:rsidRPr="0000059D" w14:paraId="7C0D3697"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64F07ADA"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Magdalena</w:t>
                  </w:r>
                </w:p>
              </w:tc>
              <w:tc>
                <w:tcPr>
                  <w:tcW w:w="1276" w:type="dxa"/>
                  <w:tcBorders>
                    <w:top w:val="nil"/>
                    <w:left w:val="nil"/>
                    <w:bottom w:val="single" w:sz="4" w:space="0" w:color="auto"/>
                    <w:right w:val="single" w:sz="4" w:space="0" w:color="auto"/>
                  </w:tcBorders>
                  <w:shd w:val="clear" w:color="auto" w:fill="auto"/>
                  <w:noWrap/>
                  <w:vAlign w:val="bottom"/>
                  <w:hideMark/>
                </w:tcPr>
                <w:p w14:paraId="78A5EEB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1417" w:type="dxa"/>
                  <w:tcBorders>
                    <w:top w:val="nil"/>
                    <w:left w:val="nil"/>
                    <w:bottom w:val="single" w:sz="4" w:space="0" w:color="auto"/>
                    <w:right w:val="single" w:sz="4" w:space="0" w:color="auto"/>
                  </w:tcBorders>
                  <w:shd w:val="clear" w:color="auto" w:fill="auto"/>
                  <w:noWrap/>
                  <w:vAlign w:val="bottom"/>
                  <w:hideMark/>
                </w:tcPr>
                <w:p w14:paraId="10C39D1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851" w:type="dxa"/>
                  <w:tcBorders>
                    <w:top w:val="nil"/>
                    <w:left w:val="nil"/>
                    <w:bottom w:val="single" w:sz="4" w:space="0" w:color="auto"/>
                    <w:right w:val="single" w:sz="4" w:space="0" w:color="auto"/>
                  </w:tcBorders>
                  <w:shd w:val="clear" w:color="auto" w:fill="auto"/>
                  <w:noWrap/>
                  <w:vAlign w:val="bottom"/>
                  <w:hideMark/>
                </w:tcPr>
                <w:p w14:paraId="3B6DBD8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w:t>
                  </w:r>
                </w:p>
              </w:tc>
            </w:tr>
            <w:tr w:rsidR="007D5F9E" w:rsidRPr="0000059D" w14:paraId="210911B6"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21F4286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Risaralda</w:t>
                  </w:r>
                </w:p>
              </w:tc>
              <w:tc>
                <w:tcPr>
                  <w:tcW w:w="1276" w:type="dxa"/>
                  <w:tcBorders>
                    <w:top w:val="nil"/>
                    <w:left w:val="nil"/>
                    <w:bottom w:val="single" w:sz="4" w:space="0" w:color="auto"/>
                    <w:right w:val="single" w:sz="4" w:space="0" w:color="auto"/>
                  </w:tcBorders>
                  <w:shd w:val="clear" w:color="auto" w:fill="auto"/>
                  <w:noWrap/>
                  <w:vAlign w:val="bottom"/>
                  <w:hideMark/>
                </w:tcPr>
                <w:p w14:paraId="2EBFDB4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114B178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851" w:type="dxa"/>
                  <w:tcBorders>
                    <w:top w:val="nil"/>
                    <w:left w:val="nil"/>
                    <w:bottom w:val="single" w:sz="4" w:space="0" w:color="auto"/>
                    <w:right w:val="single" w:sz="4" w:space="0" w:color="auto"/>
                  </w:tcBorders>
                  <w:shd w:val="clear" w:color="auto" w:fill="auto"/>
                  <w:noWrap/>
                  <w:vAlign w:val="bottom"/>
                  <w:hideMark/>
                </w:tcPr>
                <w:p w14:paraId="08D2FB8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r>
            <w:tr w:rsidR="007D5F9E" w:rsidRPr="0000059D" w14:paraId="6AC8B539"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73F94383"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Guainía</w:t>
                  </w:r>
                </w:p>
              </w:tc>
              <w:tc>
                <w:tcPr>
                  <w:tcW w:w="1276" w:type="dxa"/>
                  <w:tcBorders>
                    <w:top w:val="nil"/>
                    <w:left w:val="nil"/>
                    <w:bottom w:val="single" w:sz="4" w:space="0" w:color="auto"/>
                    <w:right w:val="single" w:sz="4" w:space="0" w:color="auto"/>
                  </w:tcBorders>
                  <w:shd w:val="clear" w:color="auto" w:fill="auto"/>
                  <w:noWrap/>
                  <w:vAlign w:val="bottom"/>
                  <w:hideMark/>
                </w:tcPr>
                <w:p w14:paraId="3C9FF4F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5F85BC0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w:t>
                  </w:r>
                </w:p>
              </w:tc>
              <w:tc>
                <w:tcPr>
                  <w:tcW w:w="851" w:type="dxa"/>
                  <w:tcBorders>
                    <w:top w:val="nil"/>
                    <w:left w:val="nil"/>
                    <w:bottom w:val="single" w:sz="4" w:space="0" w:color="auto"/>
                    <w:right w:val="single" w:sz="4" w:space="0" w:color="auto"/>
                  </w:tcBorders>
                  <w:shd w:val="clear" w:color="auto" w:fill="auto"/>
                  <w:noWrap/>
                  <w:vAlign w:val="bottom"/>
                  <w:hideMark/>
                </w:tcPr>
                <w:p w14:paraId="288AAAD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w:t>
                  </w:r>
                </w:p>
              </w:tc>
            </w:tr>
            <w:tr w:rsidR="007D5F9E" w:rsidRPr="0000059D" w14:paraId="41A2BC67"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30DD319C"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Caldas</w:t>
                  </w:r>
                </w:p>
              </w:tc>
              <w:tc>
                <w:tcPr>
                  <w:tcW w:w="1276" w:type="dxa"/>
                  <w:tcBorders>
                    <w:top w:val="nil"/>
                    <w:left w:val="nil"/>
                    <w:bottom w:val="single" w:sz="4" w:space="0" w:color="auto"/>
                    <w:right w:val="single" w:sz="4" w:space="0" w:color="auto"/>
                  </w:tcBorders>
                  <w:shd w:val="clear" w:color="auto" w:fill="auto"/>
                  <w:noWrap/>
                  <w:vAlign w:val="bottom"/>
                  <w:hideMark/>
                </w:tcPr>
                <w:p w14:paraId="30C508B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11EBFC3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851" w:type="dxa"/>
                  <w:tcBorders>
                    <w:top w:val="nil"/>
                    <w:left w:val="nil"/>
                    <w:bottom w:val="single" w:sz="4" w:space="0" w:color="auto"/>
                    <w:right w:val="single" w:sz="4" w:space="0" w:color="auto"/>
                  </w:tcBorders>
                  <w:shd w:val="clear" w:color="auto" w:fill="auto"/>
                  <w:noWrap/>
                  <w:vAlign w:val="bottom"/>
                  <w:hideMark/>
                </w:tcPr>
                <w:p w14:paraId="2536C7F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w:t>
                  </w:r>
                </w:p>
              </w:tc>
            </w:tr>
            <w:tr w:rsidR="007D5F9E" w:rsidRPr="0000059D" w14:paraId="57A46294" w14:textId="77777777" w:rsidTr="007D5F9E">
              <w:trPr>
                <w:trHeight w:val="133"/>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1B229B8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Quindío</w:t>
                  </w:r>
                </w:p>
              </w:tc>
              <w:tc>
                <w:tcPr>
                  <w:tcW w:w="1276" w:type="dxa"/>
                  <w:tcBorders>
                    <w:top w:val="nil"/>
                    <w:left w:val="nil"/>
                    <w:bottom w:val="single" w:sz="4" w:space="0" w:color="auto"/>
                    <w:right w:val="single" w:sz="4" w:space="0" w:color="auto"/>
                  </w:tcBorders>
                  <w:shd w:val="clear" w:color="auto" w:fill="auto"/>
                  <w:noWrap/>
                  <w:vAlign w:val="bottom"/>
                  <w:hideMark/>
                </w:tcPr>
                <w:p w14:paraId="19B64BC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1417" w:type="dxa"/>
                  <w:tcBorders>
                    <w:top w:val="nil"/>
                    <w:left w:val="nil"/>
                    <w:bottom w:val="single" w:sz="4" w:space="0" w:color="auto"/>
                    <w:right w:val="single" w:sz="4" w:space="0" w:color="auto"/>
                  </w:tcBorders>
                  <w:shd w:val="clear" w:color="auto" w:fill="auto"/>
                  <w:noWrap/>
                  <w:vAlign w:val="bottom"/>
                  <w:hideMark/>
                </w:tcPr>
                <w:p w14:paraId="0186368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c>
                <w:tcPr>
                  <w:tcW w:w="851" w:type="dxa"/>
                  <w:tcBorders>
                    <w:top w:val="nil"/>
                    <w:left w:val="nil"/>
                    <w:bottom w:val="single" w:sz="4" w:space="0" w:color="auto"/>
                    <w:right w:val="single" w:sz="4" w:space="0" w:color="auto"/>
                  </w:tcBorders>
                  <w:shd w:val="clear" w:color="auto" w:fill="auto"/>
                  <w:noWrap/>
                  <w:vAlign w:val="bottom"/>
                  <w:hideMark/>
                </w:tcPr>
                <w:p w14:paraId="14E606E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r>
            <w:tr w:rsidR="007D5F9E" w:rsidRPr="0000059D" w14:paraId="7FE358BE"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58669ABF"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Vichada</w:t>
                  </w:r>
                </w:p>
              </w:tc>
              <w:tc>
                <w:tcPr>
                  <w:tcW w:w="1276" w:type="dxa"/>
                  <w:tcBorders>
                    <w:top w:val="nil"/>
                    <w:left w:val="nil"/>
                    <w:bottom w:val="single" w:sz="4" w:space="0" w:color="auto"/>
                    <w:right w:val="single" w:sz="4" w:space="0" w:color="auto"/>
                  </w:tcBorders>
                  <w:shd w:val="clear" w:color="auto" w:fill="auto"/>
                  <w:noWrap/>
                  <w:vAlign w:val="bottom"/>
                  <w:hideMark/>
                </w:tcPr>
                <w:p w14:paraId="734B84C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0</w:t>
                  </w:r>
                </w:p>
              </w:tc>
              <w:tc>
                <w:tcPr>
                  <w:tcW w:w="1417" w:type="dxa"/>
                  <w:tcBorders>
                    <w:top w:val="nil"/>
                    <w:left w:val="nil"/>
                    <w:bottom w:val="single" w:sz="4" w:space="0" w:color="auto"/>
                    <w:right w:val="single" w:sz="4" w:space="0" w:color="auto"/>
                  </w:tcBorders>
                  <w:shd w:val="clear" w:color="auto" w:fill="auto"/>
                  <w:noWrap/>
                  <w:vAlign w:val="bottom"/>
                  <w:hideMark/>
                </w:tcPr>
                <w:p w14:paraId="333195A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c>
                <w:tcPr>
                  <w:tcW w:w="851" w:type="dxa"/>
                  <w:tcBorders>
                    <w:top w:val="nil"/>
                    <w:left w:val="nil"/>
                    <w:bottom w:val="single" w:sz="4" w:space="0" w:color="auto"/>
                    <w:right w:val="single" w:sz="4" w:space="0" w:color="auto"/>
                  </w:tcBorders>
                  <w:shd w:val="clear" w:color="auto" w:fill="auto"/>
                  <w:noWrap/>
                  <w:vAlign w:val="bottom"/>
                  <w:hideMark/>
                </w:tcPr>
                <w:p w14:paraId="10469C3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w:t>
                  </w:r>
                </w:p>
              </w:tc>
            </w:tr>
            <w:tr w:rsidR="007D5F9E" w:rsidRPr="0000059D" w14:paraId="523B4D51"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FD079C4"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Amazonas</w:t>
                  </w:r>
                </w:p>
              </w:tc>
              <w:tc>
                <w:tcPr>
                  <w:tcW w:w="1276" w:type="dxa"/>
                  <w:tcBorders>
                    <w:top w:val="nil"/>
                    <w:left w:val="nil"/>
                    <w:bottom w:val="single" w:sz="4" w:space="0" w:color="auto"/>
                    <w:right w:val="single" w:sz="4" w:space="0" w:color="auto"/>
                  </w:tcBorders>
                  <w:shd w:val="clear" w:color="auto" w:fill="auto"/>
                  <w:noWrap/>
                  <w:vAlign w:val="bottom"/>
                  <w:hideMark/>
                </w:tcPr>
                <w:p w14:paraId="0BDC411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0</w:t>
                  </w:r>
                </w:p>
              </w:tc>
              <w:tc>
                <w:tcPr>
                  <w:tcW w:w="1417" w:type="dxa"/>
                  <w:tcBorders>
                    <w:top w:val="nil"/>
                    <w:left w:val="nil"/>
                    <w:bottom w:val="single" w:sz="4" w:space="0" w:color="auto"/>
                    <w:right w:val="single" w:sz="4" w:space="0" w:color="auto"/>
                  </w:tcBorders>
                  <w:shd w:val="clear" w:color="auto" w:fill="auto"/>
                  <w:noWrap/>
                  <w:vAlign w:val="bottom"/>
                  <w:hideMark/>
                </w:tcPr>
                <w:p w14:paraId="1BB94CD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c>
                <w:tcPr>
                  <w:tcW w:w="851" w:type="dxa"/>
                  <w:tcBorders>
                    <w:top w:val="nil"/>
                    <w:left w:val="nil"/>
                    <w:bottom w:val="single" w:sz="4" w:space="0" w:color="auto"/>
                    <w:right w:val="single" w:sz="4" w:space="0" w:color="auto"/>
                  </w:tcBorders>
                  <w:shd w:val="clear" w:color="auto" w:fill="auto"/>
                  <w:noWrap/>
                  <w:vAlign w:val="bottom"/>
                  <w:hideMark/>
                </w:tcPr>
                <w:p w14:paraId="2EC4E2B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r>
            <w:tr w:rsidR="007D5F9E" w:rsidRPr="0000059D" w14:paraId="2D5EE1DD"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14:paraId="48120267"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Vaupés</w:t>
                  </w:r>
                </w:p>
              </w:tc>
              <w:tc>
                <w:tcPr>
                  <w:tcW w:w="1276" w:type="dxa"/>
                  <w:tcBorders>
                    <w:top w:val="nil"/>
                    <w:left w:val="nil"/>
                    <w:bottom w:val="single" w:sz="4" w:space="0" w:color="auto"/>
                    <w:right w:val="single" w:sz="4" w:space="0" w:color="auto"/>
                  </w:tcBorders>
                  <w:shd w:val="clear" w:color="auto" w:fill="auto"/>
                  <w:noWrap/>
                  <w:vAlign w:val="bottom"/>
                  <w:hideMark/>
                </w:tcPr>
                <w:p w14:paraId="75F30B6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0</w:t>
                  </w:r>
                </w:p>
              </w:tc>
              <w:tc>
                <w:tcPr>
                  <w:tcW w:w="1417" w:type="dxa"/>
                  <w:tcBorders>
                    <w:top w:val="nil"/>
                    <w:left w:val="nil"/>
                    <w:bottom w:val="single" w:sz="4" w:space="0" w:color="auto"/>
                    <w:right w:val="single" w:sz="4" w:space="0" w:color="auto"/>
                  </w:tcBorders>
                  <w:shd w:val="clear" w:color="auto" w:fill="auto"/>
                  <w:noWrap/>
                  <w:vAlign w:val="bottom"/>
                  <w:hideMark/>
                </w:tcPr>
                <w:p w14:paraId="080A1E8E"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c>
                <w:tcPr>
                  <w:tcW w:w="851" w:type="dxa"/>
                  <w:tcBorders>
                    <w:top w:val="nil"/>
                    <w:left w:val="nil"/>
                    <w:bottom w:val="single" w:sz="4" w:space="0" w:color="auto"/>
                    <w:right w:val="single" w:sz="4" w:space="0" w:color="auto"/>
                  </w:tcBorders>
                  <w:shd w:val="clear" w:color="auto" w:fill="auto"/>
                  <w:noWrap/>
                  <w:vAlign w:val="bottom"/>
                  <w:hideMark/>
                </w:tcPr>
                <w:p w14:paraId="0742EBDB"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w:t>
                  </w:r>
                </w:p>
              </w:tc>
            </w:tr>
            <w:tr w:rsidR="007D5F9E" w:rsidRPr="0000059D" w14:paraId="2134190D" w14:textId="77777777" w:rsidTr="007D5F9E">
              <w:trPr>
                <w:trHeight w:val="70"/>
                <w:jc w:val="center"/>
              </w:trPr>
              <w:tc>
                <w:tcPr>
                  <w:tcW w:w="2290"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2C0BA2B2"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 xml:space="preserve">Total </w:t>
                  </w:r>
                </w:p>
              </w:tc>
              <w:tc>
                <w:tcPr>
                  <w:tcW w:w="1276" w:type="dxa"/>
                  <w:tcBorders>
                    <w:top w:val="nil"/>
                    <w:left w:val="nil"/>
                    <w:bottom w:val="single" w:sz="4" w:space="0" w:color="auto"/>
                    <w:right w:val="single" w:sz="4" w:space="0" w:color="auto"/>
                  </w:tcBorders>
                  <w:shd w:val="clear" w:color="auto" w:fill="8EAADB" w:themeFill="accent1" w:themeFillTint="99"/>
                  <w:noWrap/>
                  <w:vAlign w:val="bottom"/>
                  <w:hideMark/>
                </w:tcPr>
                <w:p w14:paraId="556D3E1C"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436</w:t>
                  </w:r>
                </w:p>
              </w:tc>
              <w:tc>
                <w:tcPr>
                  <w:tcW w:w="1417" w:type="dxa"/>
                  <w:tcBorders>
                    <w:top w:val="nil"/>
                    <w:left w:val="nil"/>
                    <w:bottom w:val="single" w:sz="4" w:space="0" w:color="auto"/>
                    <w:right w:val="single" w:sz="4" w:space="0" w:color="auto"/>
                  </w:tcBorders>
                  <w:shd w:val="clear" w:color="auto" w:fill="8EAADB" w:themeFill="accent1" w:themeFillTint="99"/>
                  <w:noWrap/>
                  <w:vAlign w:val="bottom"/>
                  <w:hideMark/>
                </w:tcPr>
                <w:p w14:paraId="5AF4A1E5"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1.454</w:t>
                  </w:r>
                </w:p>
              </w:tc>
              <w:tc>
                <w:tcPr>
                  <w:tcW w:w="851" w:type="dxa"/>
                  <w:tcBorders>
                    <w:top w:val="nil"/>
                    <w:left w:val="nil"/>
                    <w:bottom w:val="single" w:sz="4" w:space="0" w:color="auto"/>
                    <w:right w:val="single" w:sz="4" w:space="0" w:color="auto"/>
                  </w:tcBorders>
                  <w:shd w:val="clear" w:color="auto" w:fill="8EAADB" w:themeFill="accent1" w:themeFillTint="99"/>
                  <w:noWrap/>
                  <w:vAlign w:val="bottom"/>
                  <w:hideMark/>
                </w:tcPr>
                <w:p w14:paraId="75F3B357"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1.890*</w:t>
                  </w:r>
                </w:p>
              </w:tc>
            </w:tr>
          </w:tbl>
          <w:p w14:paraId="66B1D8B8" w14:textId="77777777" w:rsidR="007D5F9E" w:rsidRPr="008562C2" w:rsidRDefault="007D5F9E" w:rsidP="007D5F9E">
            <w:pPr>
              <w:jc w:val="center"/>
              <w:rPr>
                <w:rFonts w:eastAsia="Times New Roman" w:cstheme="minorHAnsi"/>
                <w:bCs/>
                <w:i/>
                <w:sz w:val="16"/>
                <w:szCs w:val="16"/>
                <w:lang w:eastAsia="es-CO"/>
              </w:rPr>
            </w:pPr>
            <w:r w:rsidRPr="008562C2">
              <w:rPr>
                <w:rFonts w:eastAsia="Times New Roman" w:cstheme="minorHAnsi"/>
                <w:bCs/>
                <w:i/>
                <w:sz w:val="16"/>
                <w:szCs w:val="16"/>
                <w:lang w:eastAsia="es-CO"/>
              </w:rPr>
              <w:t>Fuente: Tablero de control proyectos productivos, equipo de generación de ingresos</w:t>
            </w:r>
          </w:p>
          <w:p w14:paraId="4FD3F23F" w14:textId="77777777" w:rsidR="007D5F9E" w:rsidRPr="008562C2" w:rsidRDefault="007D5F9E" w:rsidP="007D5F9E">
            <w:pPr>
              <w:rPr>
                <w:rFonts w:cstheme="minorHAnsi"/>
                <w:sz w:val="16"/>
                <w:szCs w:val="16"/>
              </w:rPr>
            </w:pPr>
            <w:r w:rsidRPr="008562C2">
              <w:rPr>
                <w:rFonts w:cstheme="minorHAnsi"/>
                <w:sz w:val="16"/>
                <w:szCs w:val="16"/>
              </w:rPr>
              <w:t xml:space="preserve">*Personas contabilizadas de acuerdo con la fecha de notificación de desembolso. </w:t>
            </w:r>
          </w:p>
          <w:p w14:paraId="110127D7" w14:textId="77777777" w:rsidR="007D5F9E" w:rsidRDefault="007D5F9E" w:rsidP="007D5F9E">
            <w:pPr>
              <w:rPr>
                <w:rFonts w:cstheme="minorHAnsi"/>
                <w:iCs/>
              </w:rPr>
            </w:pPr>
          </w:p>
          <w:p w14:paraId="74622B7C" w14:textId="73D96EBD" w:rsidR="007D5F9E" w:rsidRDefault="007D5F9E" w:rsidP="007D5F9E">
            <w:pPr>
              <w:rPr>
                <w:rFonts w:cstheme="minorHAnsi"/>
                <w:iCs/>
              </w:rPr>
            </w:pPr>
            <w:r w:rsidRPr="00377266">
              <w:rPr>
                <w:rFonts w:cstheme="minorHAnsi"/>
                <w:iCs/>
              </w:rPr>
              <w:t xml:space="preserve">Número de personas beneficiadas de desembolso de proyectos productivos </w:t>
            </w:r>
            <w:r>
              <w:rPr>
                <w:rFonts w:cstheme="minorHAnsi"/>
                <w:b/>
                <w:iCs/>
              </w:rPr>
              <w:t>colectivos</w:t>
            </w:r>
            <w:r w:rsidRPr="00377266">
              <w:rPr>
                <w:rFonts w:cstheme="minorHAnsi"/>
                <w:iCs/>
              </w:rPr>
              <w:t xml:space="preserve"> por departamento para el año 202</w:t>
            </w:r>
            <w:r>
              <w:rPr>
                <w:rFonts w:cstheme="minorHAnsi"/>
                <w:iCs/>
              </w:rPr>
              <w:t>1</w:t>
            </w:r>
          </w:p>
          <w:p w14:paraId="1F94DCD6" w14:textId="77777777" w:rsidR="007D5F9E" w:rsidRPr="00377266" w:rsidRDefault="007D5F9E" w:rsidP="007D5F9E">
            <w:pPr>
              <w:rPr>
                <w:rFonts w:cstheme="minorHAnsi"/>
                <w:iCs/>
              </w:rPr>
            </w:pPr>
          </w:p>
          <w:tbl>
            <w:tblPr>
              <w:tblW w:w="5142" w:type="dxa"/>
              <w:jc w:val="center"/>
              <w:tblCellMar>
                <w:left w:w="70" w:type="dxa"/>
                <w:right w:w="70" w:type="dxa"/>
              </w:tblCellMar>
              <w:tblLook w:val="04A0" w:firstRow="1" w:lastRow="0" w:firstColumn="1" w:lastColumn="0" w:noHBand="0" w:noVBand="1"/>
            </w:tblPr>
            <w:tblGrid>
              <w:gridCol w:w="1754"/>
              <w:gridCol w:w="1360"/>
              <w:gridCol w:w="1314"/>
              <w:gridCol w:w="714"/>
            </w:tblGrid>
            <w:tr w:rsidR="007D5F9E" w:rsidRPr="0000059D" w14:paraId="2C0BEDF0" w14:textId="77777777" w:rsidTr="007D5F9E">
              <w:trPr>
                <w:trHeight w:val="130"/>
                <w:jc w:val="center"/>
              </w:trPr>
              <w:tc>
                <w:tcPr>
                  <w:tcW w:w="1754"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52B1FB7"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Departamento</w:t>
                  </w:r>
                </w:p>
              </w:tc>
              <w:tc>
                <w:tcPr>
                  <w:tcW w:w="13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26CB06F"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Femenino</w:t>
                  </w:r>
                </w:p>
              </w:tc>
              <w:tc>
                <w:tcPr>
                  <w:tcW w:w="131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EB95D06"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Masculino</w:t>
                  </w:r>
                </w:p>
              </w:tc>
              <w:tc>
                <w:tcPr>
                  <w:tcW w:w="71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832B30D"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Total</w:t>
                  </w:r>
                </w:p>
              </w:tc>
            </w:tr>
            <w:tr w:rsidR="007D5F9E" w:rsidRPr="0000059D" w14:paraId="3C289063" w14:textId="77777777" w:rsidTr="007D5F9E">
              <w:trPr>
                <w:trHeight w:val="75"/>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0B3DF76"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Cauca</w:t>
                  </w:r>
                </w:p>
              </w:tc>
              <w:tc>
                <w:tcPr>
                  <w:tcW w:w="1360" w:type="dxa"/>
                  <w:tcBorders>
                    <w:top w:val="nil"/>
                    <w:left w:val="nil"/>
                    <w:bottom w:val="single" w:sz="4" w:space="0" w:color="auto"/>
                    <w:right w:val="single" w:sz="4" w:space="0" w:color="auto"/>
                  </w:tcBorders>
                  <w:shd w:val="clear" w:color="auto" w:fill="auto"/>
                  <w:noWrap/>
                  <w:vAlign w:val="bottom"/>
                  <w:hideMark/>
                </w:tcPr>
                <w:p w14:paraId="6F90927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27</w:t>
                  </w:r>
                </w:p>
              </w:tc>
              <w:tc>
                <w:tcPr>
                  <w:tcW w:w="1314" w:type="dxa"/>
                  <w:tcBorders>
                    <w:top w:val="nil"/>
                    <w:left w:val="nil"/>
                    <w:bottom w:val="single" w:sz="4" w:space="0" w:color="auto"/>
                    <w:right w:val="single" w:sz="4" w:space="0" w:color="auto"/>
                  </w:tcBorders>
                  <w:shd w:val="clear" w:color="auto" w:fill="auto"/>
                  <w:noWrap/>
                  <w:vAlign w:val="bottom"/>
                  <w:hideMark/>
                </w:tcPr>
                <w:p w14:paraId="184F24C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87</w:t>
                  </w:r>
                </w:p>
              </w:tc>
              <w:tc>
                <w:tcPr>
                  <w:tcW w:w="714" w:type="dxa"/>
                  <w:tcBorders>
                    <w:top w:val="nil"/>
                    <w:left w:val="nil"/>
                    <w:bottom w:val="single" w:sz="4" w:space="0" w:color="auto"/>
                    <w:right w:val="single" w:sz="4" w:space="0" w:color="auto"/>
                  </w:tcBorders>
                  <w:shd w:val="clear" w:color="auto" w:fill="auto"/>
                  <w:noWrap/>
                  <w:vAlign w:val="bottom"/>
                  <w:hideMark/>
                </w:tcPr>
                <w:p w14:paraId="2F43192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114</w:t>
                  </w:r>
                </w:p>
              </w:tc>
            </w:tr>
            <w:tr w:rsidR="007D5F9E" w:rsidRPr="0000059D" w14:paraId="1B692310" w14:textId="77777777" w:rsidTr="007D5F9E">
              <w:trPr>
                <w:trHeight w:val="163"/>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B37E7AC"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Antioquia</w:t>
                  </w:r>
                </w:p>
              </w:tc>
              <w:tc>
                <w:tcPr>
                  <w:tcW w:w="1360" w:type="dxa"/>
                  <w:tcBorders>
                    <w:top w:val="nil"/>
                    <w:left w:val="nil"/>
                    <w:bottom w:val="single" w:sz="4" w:space="0" w:color="auto"/>
                    <w:right w:val="single" w:sz="4" w:space="0" w:color="auto"/>
                  </w:tcBorders>
                  <w:shd w:val="clear" w:color="auto" w:fill="auto"/>
                  <w:noWrap/>
                  <w:vAlign w:val="bottom"/>
                  <w:hideMark/>
                </w:tcPr>
                <w:p w14:paraId="2ABFBD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20</w:t>
                  </w:r>
                </w:p>
              </w:tc>
              <w:tc>
                <w:tcPr>
                  <w:tcW w:w="1314" w:type="dxa"/>
                  <w:tcBorders>
                    <w:top w:val="nil"/>
                    <w:left w:val="nil"/>
                    <w:bottom w:val="single" w:sz="4" w:space="0" w:color="auto"/>
                    <w:right w:val="single" w:sz="4" w:space="0" w:color="auto"/>
                  </w:tcBorders>
                  <w:shd w:val="clear" w:color="auto" w:fill="auto"/>
                  <w:noWrap/>
                  <w:vAlign w:val="bottom"/>
                  <w:hideMark/>
                </w:tcPr>
                <w:p w14:paraId="18C84AD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61</w:t>
                  </w:r>
                </w:p>
              </w:tc>
              <w:tc>
                <w:tcPr>
                  <w:tcW w:w="714" w:type="dxa"/>
                  <w:tcBorders>
                    <w:top w:val="nil"/>
                    <w:left w:val="nil"/>
                    <w:bottom w:val="single" w:sz="4" w:space="0" w:color="auto"/>
                    <w:right w:val="single" w:sz="4" w:space="0" w:color="auto"/>
                  </w:tcBorders>
                  <w:shd w:val="clear" w:color="auto" w:fill="auto"/>
                  <w:noWrap/>
                  <w:vAlign w:val="bottom"/>
                  <w:hideMark/>
                </w:tcPr>
                <w:p w14:paraId="56EB4955"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81</w:t>
                  </w:r>
                </w:p>
              </w:tc>
            </w:tr>
            <w:tr w:rsidR="007D5F9E" w:rsidRPr="0000059D" w14:paraId="34411AEC"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B72E6D8"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Meta</w:t>
                  </w:r>
                </w:p>
              </w:tc>
              <w:tc>
                <w:tcPr>
                  <w:tcW w:w="1360" w:type="dxa"/>
                  <w:tcBorders>
                    <w:top w:val="nil"/>
                    <w:left w:val="nil"/>
                    <w:bottom w:val="single" w:sz="4" w:space="0" w:color="auto"/>
                    <w:right w:val="single" w:sz="4" w:space="0" w:color="auto"/>
                  </w:tcBorders>
                  <w:shd w:val="clear" w:color="auto" w:fill="auto"/>
                  <w:noWrap/>
                  <w:vAlign w:val="bottom"/>
                  <w:hideMark/>
                </w:tcPr>
                <w:p w14:paraId="720EB1A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16</w:t>
                  </w:r>
                </w:p>
              </w:tc>
              <w:tc>
                <w:tcPr>
                  <w:tcW w:w="1314" w:type="dxa"/>
                  <w:tcBorders>
                    <w:top w:val="nil"/>
                    <w:left w:val="nil"/>
                    <w:bottom w:val="single" w:sz="4" w:space="0" w:color="auto"/>
                    <w:right w:val="single" w:sz="4" w:space="0" w:color="auto"/>
                  </w:tcBorders>
                  <w:shd w:val="clear" w:color="auto" w:fill="auto"/>
                  <w:noWrap/>
                  <w:vAlign w:val="bottom"/>
                  <w:hideMark/>
                </w:tcPr>
                <w:p w14:paraId="38C13A1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64</w:t>
                  </w:r>
                </w:p>
              </w:tc>
              <w:tc>
                <w:tcPr>
                  <w:tcW w:w="714" w:type="dxa"/>
                  <w:tcBorders>
                    <w:top w:val="nil"/>
                    <w:left w:val="nil"/>
                    <w:bottom w:val="single" w:sz="4" w:space="0" w:color="auto"/>
                    <w:right w:val="single" w:sz="4" w:space="0" w:color="auto"/>
                  </w:tcBorders>
                  <w:shd w:val="clear" w:color="auto" w:fill="auto"/>
                  <w:noWrap/>
                  <w:vAlign w:val="bottom"/>
                  <w:hideMark/>
                </w:tcPr>
                <w:p w14:paraId="67DD6A3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80</w:t>
                  </w:r>
                </w:p>
              </w:tc>
            </w:tr>
            <w:tr w:rsidR="007D5F9E" w:rsidRPr="0000059D" w14:paraId="5520E437"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40B2A022"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Cundinamarca</w:t>
                  </w:r>
                </w:p>
              </w:tc>
              <w:tc>
                <w:tcPr>
                  <w:tcW w:w="1360" w:type="dxa"/>
                  <w:tcBorders>
                    <w:top w:val="nil"/>
                    <w:left w:val="nil"/>
                    <w:bottom w:val="single" w:sz="4" w:space="0" w:color="auto"/>
                    <w:right w:val="single" w:sz="4" w:space="0" w:color="auto"/>
                  </w:tcBorders>
                  <w:shd w:val="clear" w:color="auto" w:fill="auto"/>
                  <w:noWrap/>
                  <w:vAlign w:val="bottom"/>
                  <w:hideMark/>
                </w:tcPr>
                <w:p w14:paraId="1FB60E5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1314" w:type="dxa"/>
                  <w:tcBorders>
                    <w:top w:val="nil"/>
                    <w:left w:val="nil"/>
                    <w:bottom w:val="single" w:sz="4" w:space="0" w:color="auto"/>
                    <w:right w:val="single" w:sz="4" w:space="0" w:color="auto"/>
                  </w:tcBorders>
                  <w:shd w:val="clear" w:color="auto" w:fill="auto"/>
                  <w:noWrap/>
                  <w:vAlign w:val="bottom"/>
                  <w:hideMark/>
                </w:tcPr>
                <w:p w14:paraId="26521A1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55</w:t>
                  </w:r>
                </w:p>
              </w:tc>
              <w:tc>
                <w:tcPr>
                  <w:tcW w:w="714" w:type="dxa"/>
                  <w:tcBorders>
                    <w:top w:val="nil"/>
                    <w:left w:val="nil"/>
                    <w:bottom w:val="single" w:sz="4" w:space="0" w:color="auto"/>
                    <w:right w:val="single" w:sz="4" w:space="0" w:color="auto"/>
                  </w:tcBorders>
                  <w:shd w:val="clear" w:color="auto" w:fill="auto"/>
                  <w:noWrap/>
                  <w:vAlign w:val="bottom"/>
                  <w:hideMark/>
                </w:tcPr>
                <w:p w14:paraId="36BEE9E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65</w:t>
                  </w:r>
                </w:p>
              </w:tc>
            </w:tr>
            <w:tr w:rsidR="007D5F9E" w:rsidRPr="0000059D" w14:paraId="666CC58D"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9DFF7E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Nariño</w:t>
                  </w:r>
                </w:p>
              </w:tc>
              <w:tc>
                <w:tcPr>
                  <w:tcW w:w="1360" w:type="dxa"/>
                  <w:tcBorders>
                    <w:top w:val="nil"/>
                    <w:left w:val="nil"/>
                    <w:bottom w:val="single" w:sz="4" w:space="0" w:color="auto"/>
                    <w:right w:val="single" w:sz="4" w:space="0" w:color="auto"/>
                  </w:tcBorders>
                  <w:shd w:val="clear" w:color="auto" w:fill="auto"/>
                  <w:noWrap/>
                  <w:vAlign w:val="bottom"/>
                  <w:hideMark/>
                </w:tcPr>
                <w:p w14:paraId="5035742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20</w:t>
                  </w:r>
                </w:p>
              </w:tc>
              <w:tc>
                <w:tcPr>
                  <w:tcW w:w="1314" w:type="dxa"/>
                  <w:tcBorders>
                    <w:top w:val="nil"/>
                    <w:left w:val="nil"/>
                    <w:bottom w:val="single" w:sz="4" w:space="0" w:color="auto"/>
                    <w:right w:val="single" w:sz="4" w:space="0" w:color="auto"/>
                  </w:tcBorders>
                  <w:shd w:val="clear" w:color="auto" w:fill="auto"/>
                  <w:noWrap/>
                  <w:vAlign w:val="bottom"/>
                  <w:hideMark/>
                </w:tcPr>
                <w:p w14:paraId="2DB55728"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33</w:t>
                  </w:r>
                </w:p>
              </w:tc>
              <w:tc>
                <w:tcPr>
                  <w:tcW w:w="714" w:type="dxa"/>
                  <w:tcBorders>
                    <w:top w:val="nil"/>
                    <w:left w:val="nil"/>
                    <w:bottom w:val="single" w:sz="4" w:space="0" w:color="auto"/>
                    <w:right w:val="single" w:sz="4" w:space="0" w:color="auto"/>
                  </w:tcBorders>
                  <w:shd w:val="clear" w:color="auto" w:fill="auto"/>
                  <w:noWrap/>
                  <w:vAlign w:val="bottom"/>
                  <w:hideMark/>
                </w:tcPr>
                <w:p w14:paraId="20DD575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53</w:t>
                  </w:r>
                </w:p>
              </w:tc>
            </w:tr>
            <w:tr w:rsidR="007D5F9E" w:rsidRPr="0000059D" w14:paraId="7FC79689"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5E3925A"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Bolívar</w:t>
                  </w:r>
                </w:p>
              </w:tc>
              <w:tc>
                <w:tcPr>
                  <w:tcW w:w="1360" w:type="dxa"/>
                  <w:tcBorders>
                    <w:top w:val="nil"/>
                    <w:left w:val="nil"/>
                    <w:bottom w:val="single" w:sz="4" w:space="0" w:color="auto"/>
                    <w:right w:val="single" w:sz="4" w:space="0" w:color="auto"/>
                  </w:tcBorders>
                  <w:shd w:val="clear" w:color="auto" w:fill="auto"/>
                  <w:noWrap/>
                  <w:vAlign w:val="bottom"/>
                  <w:hideMark/>
                </w:tcPr>
                <w:p w14:paraId="3672889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w:t>
                  </w:r>
                </w:p>
              </w:tc>
              <w:tc>
                <w:tcPr>
                  <w:tcW w:w="1314" w:type="dxa"/>
                  <w:tcBorders>
                    <w:top w:val="nil"/>
                    <w:left w:val="nil"/>
                    <w:bottom w:val="single" w:sz="4" w:space="0" w:color="auto"/>
                    <w:right w:val="single" w:sz="4" w:space="0" w:color="auto"/>
                  </w:tcBorders>
                  <w:shd w:val="clear" w:color="auto" w:fill="auto"/>
                  <w:noWrap/>
                  <w:vAlign w:val="bottom"/>
                  <w:hideMark/>
                </w:tcPr>
                <w:p w14:paraId="62F0146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36</w:t>
                  </w:r>
                </w:p>
              </w:tc>
              <w:tc>
                <w:tcPr>
                  <w:tcW w:w="714" w:type="dxa"/>
                  <w:tcBorders>
                    <w:top w:val="nil"/>
                    <w:left w:val="nil"/>
                    <w:bottom w:val="single" w:sz="4" w:space="0" w:color="auto"/>
                    <w:right w:val="single" w:sz="4" w:space="0" w:color="auto"/>
                  </w:tcBorders>
                  <w:shd w:val="clear" w:color="auto" w:fill="auto"/>
                  <w:noWrap/>
                  <w:vAlign w:val="bottom"/>
                  <w:hideMark/>
                </w:tcPr>
                <w:p w14:paraId="2F4B88B0"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43</w:t>
                  </w:r>
                </w:p>
              </w:tc>
            </w:tr>
            <w:tr w:rsidR="007D5F9E" w:rsidRPr="0000059D" w14:paraId="5451AA45"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6E6F45E"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Arauca</w:t>
                  </w:r>
                </w:p>
              </w:tc>
              <w:tc>
                <w:tcPr>
                  <w:tcW w:w="1360" w:type="dxa"/>
                  <w:tcBorders>
                    <w:top w:val="nil"/>
                    <w:left w:val="nil"/>
                    <w:bottom w:val="single" w:sz="4" w:space="0" w:color="auto"/>
                    <w:right w:val="single" w:sz="4" w:space="0" w:color="auto"/>
                  </w:tcBorders>
                  <w:shd w:val="clear" w:color="auto" w:fill="auto"/>
                  <w:noWrap/>
                  <w:vAlign w:val="bottom"/>
                  <w:hideMark/>
                </w:tcPr>
                <w:p w14:paraId="0539718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1314" w:type="dxa"/>
                  <w:tcBorders>
                    <w:top w:val="nil"/>
                    <w:left w:val="nil"/>
                    <w:bottom w:val="single" w:sz="4" w:space="0" w:color="auto"/>
                    <w:right w:val="single" w:sz="4" w:space="0" w:color="auto"/>
                  </w:tcBorders>
                  <w:shd w:val="clear" w:color="auto" w:fill="auto"/>
                  <w:noWrap/>
                  <w:vAlign w:val="bottom"/>
                  <w:hideMark/>
                </w:tcPr>
                <w:p w14:paraId="07C4DE1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31</w:t>
                  </w:r>
                </w:p>
              </w:tc>
              <w:tc>
                <w:tcPr>
                  <w:tcW w:w="714" w:type="dxa"/>
                  <w:tcBorders>
                    <w:top w:val="nil"/>
                    <w:left w:val="nil"/>
                    <w:bottom w:val="single" w:sz="4" w:space="0" w:color="auto"/>
                    <w:right w:val="single" w:sz="4" w:space="0" w:color="auto"/>
                  </w:tcBorders>
                  <w:shd w:val="clear" w:color="auto" w:fill="auto"/>
                  <w:noWrap/>
                  <w:vAlign w:val="bottom"/>
                  <w:hideMark/>
                </w:tcPr>
                <w:p w14:paraId="268841D1"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39</w:t>
                  </w:r>
                </w:p>
              </w:tc>
            </w:tr>
            <w:tr w:rsidR="007D5F9E" w:rsidRPr="0000059D" w14:paraId="1B26638A"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5BFDED82"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Sucre</w:t>
                  </w:r>
                </w:p>
              </w:tc>
              <w:tc>
                <w:tcPr>
                  <w:tcW w:w="1360" w:type="dxa"/>
                  <w:tcBorders>
                    <w:top w:val="nil"/>
                    <w:left w:val="nil"/>
                    <w:bottom w:val="single" w:sz="4" w:space="0" w:color="auto"/>
                    <w:right w:val="single" w:sz="4" w:space="0" w:color="auto"/>
                  </w:tcBorders>
                  <w:shd w:val="clear" w:color="auto" w:fill="auto"/>
                  <w:noWrap/>
                  <w:vAlign w:val="bottom"/>
                  <w:hideMark/>
                </w:tcPr>
                <w:p w14:paraId="378D8944"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314" w:type="dxa"/>
                  <w:tcBorders>
                    <w:top w:val="nil"/>
                    <w:left w:val="nil"/>
                    <w:bottom w:val="single" w:sz="4" w:space="0" w:color="auto"/>
                    <w:right w:val="single" w:sz="4" w:space="0" w:color="auto"/>
                  </w:tcBorders>
                  <w:shd w:val="clear" w:color="auto" w:fill="auto"/>
                  <w:noWrap/>
                  <w:vAlign w:val="bottom"/>
                  <w:hideMark/>
                </w:tcPr>
                <w:p w14:paraId="4BD7C4E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21</w:t>
                  </w:r>
                </w:p>
              </w:tc>
              <w:tc>
                <w:tcPr>
                  <w:tcW w:w="714" w:type="dxa"/>
                  <w:tcBorders>
                    <w:top w:val="nil"/>
                    <w:left w:val="nil"/>
                    <w:bottom w:val="single" w:sz="4" w:space="0" w:color="auto"/>
                    <w:right w:val="single" w:sz="4" w:space="0" w:color="auto"/>
                  </w:tcBorders>
                  <w:shd w:val="clear" w:color="auto" w:fill="auto"/>
                  <w:noWrap/>
                  <w:vAlign w:val="bottom"/>
                  <w:hideMark/>
                </w:tcPr>
                <w:p w14:paraId="2FA9AB8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25</w:t>
                  </w:r>
                </w:p>
              </w:tc>
            </w:tr>
            <w:tr w:rsidR="007D5F9E" w:rsidRPr="0000059D" w14:paraId="117E2DBB"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AC56486"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Bogotá, D.C.</w:t>
                  </w:r>
                </w:p>
              </w:tc>
              <w:tc>
                <w:tcPr>
                  <w:tcW w:w="1360" w:type="dxa"/>
                  <w:tcBorders>
                    <w:top w:val="nil"/>
                    <w:left w:val="nil"/>
                    <w:bottom w:val="single" w:sz="4" w:space="0" w:color="auto"/>
                    <w:right w:val="single" w:sz="4" w:space="0" w:color="auto"/>
                  </w:tcBorders>
                  <w:shd w:val="clear" w:color="auto" w:fill="auto"/>
                  <w:noWrap/>
                  <w:vAlign w:val="bottom"/>
                  <w:hideMark/>
                </w:tcPr>
                <w:p w14:paraId="71AE35C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1314" w:type="dxa"/>
                  <w:tcBorders>
                    <w:top w:val="nil"/>
                    <w:left w:val="nil"/>
                    <w:bottom w:val="single" w:sz="4" w:space="0" w:color="auto"/>
                    <w:right w:val="single" w:sz="4" w:space="0" w:color="auto"/>
                  </w:tcBorders>
                  <w:shd w:val="clear" w:color="auto" w:fill="auto"/>
                  <w:noWrap/>
                  <w:vAlign w:val="bottom"/>
                  <w:hideMark/>
                </w:tcPr>
                <w:p w14:paraId="43520FF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714" w:type="dxa"/>
                  <w:tcBorders>
                    <w:top w:val="nil"/>
                    <w:left w:val="nil"/>
                    <w:bottom w:val="single" w:sz="4" w:space="0" w:color="auto"/>
                    <w:right w:val="single" w:sz="4" w:space="0" w:color="auto"/>
                  </w:tcBorders>
                  <w:shd w:val="clear" w:color="auto" w:fill="auto"/>
                  <w:noWrap/>
                  <w:vAlign w:val="bottom"/>
                  <w:hideMark/>
                </w:tcPr>
                <w:p w14:paraId="3E3BA6E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18</w:t>
                  </w:r>
                </w:p>
              </w:tc>
            </w:tr>
            <w:tr w:rsidR="007D5F9E" w:rsidRPr="0000059D" w14:paraId="02521850"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30AD1B8D"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Huila</w:t>
                  </w:r>
                </w:p>
              </w:tc>
              <w:tc>
                <w:tcPr>
                  <w:tcW w:w="1360" w:type="dxa"/>
                  <w:tcBorders>
                    <w:top w:val="nil"/>
                    <w:left w:val="nil"/>
                    <w:bottom w:val="single" w:sz="4" w:space="0" w:color="auto"/>
                    <w:right w:val="single" w:sz="4" w:space="0" w:color="auto"/>
                  </w:tcBorders>
                  <w:shd w:val="clear" w:color="auto" w:fill="auto"/>
                  <w:noWrap/>
                  <w:vAlign w:val="bottom"/>
                  <w:hideMark/>
                </w:tcPr>
                <w:p w14:paraId="7C06C80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314" w:type="dxa"/>
                  <w:tcBorders>
                    <w:top w:val="nil"/>
                    <w:left w:val="nil"/>
                    <w:bottom w:val="single" w:sz="4" w:space="0" w:color="auto"/>
                    <w:right w:val="single" w:sz="4" w:space="0" w:color="auto"/>
                  </w:tcBorders>
                  <w:shd w:val="clear" w:color="auto" w:fill="auto"/>
                  <w:noWrap/>
                  <w:vAlign w:val="bottom"/>
                  <w:hideMark/>
                </w:tcPr>
                <w:p w14:paraId="2B34FCF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714" w:type="dxa"/>
                  <w:tcBorders>
                    <w:top w:val="nil"/>
                    <w:left w:val="nil"/>
                    <w:bottom w:val="single" w:sz="4" w:space="0" w:color="auto"/>
                    <w:right w:val="single" w:sz="4" w:space="0" w:color="auto"/>
                  </w:tcBorders>
                  <w:shd w:val="clear" w:color="auto" w:fill="auto"/>
                  <w:noWrap/>
                  <w:vAlign w:val="bottom"/>
                  <w:hideMark/>
                </w:tcPr>
                <w:p w14:paraId="2AD9D87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14</w:t>
                  </w:r>
                </w:p>
              </w:tc>
            </w:tr>
            <w:tr w:rsidR="007D5F9E" w:rsidRPr="0000059D" w14:paraId="001C9847"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227B68B1"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Guaviare</w:t>
                  </w:r>
                </w:p>
              </w:tc>
              <w:tc>
                <w:tcPr>
                  <w:tcW w:w="1360" w:type="dxa"/>
                  <w:tcBorders>
                    <w:top w:val="nil"/>
                    <w:left w:val="nil"/>
                    <w:bottom w:val="single" w:sz="4" w:space="0" w:color="auto"/>
                    <w:right w:val="single" w:sz="4" w:space="0" w:color="auto"/>
                  </w:tcBorders>
                  <w:shd w:val="clear" w:color="auto" w:fill="auto"/>
                  <w:noWrap/>
                  <w:vAlign w:val="bottom"/>
                  <w:hideMark/>
                </w:tcPr>
                <w:p w14:paraId="736C078C"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4</w:t>
                  </w:r>
                </w:p>
              </w:tc>
              <w:tc>
                <w:tcPr>
                  <w:tcW w:w="1314" w:type="dxa"/>
                  <w:tcBorders>
                    <w:top w:val="nil"/>
                    <w:left w:val="nil"/>
                    <w:bottom w:val="single" w:sz="4" w:space="0" w:color="auto"/>
                    <w:right w:val="single" w:sz="4" w:space="0" w:color="auto"/>
                  </w:tcBorders>
                  <w:shd w:val="clear" w:color="auto" w:fill="auto"/>
                  <w:noWrap/>
                  <w:vAlign w:val="bottom"/>
                  <w:hideMark/>
                </w:tcPr>
                <w:p w14:paraId="126A6E03"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8</w:t>
                  </w:r>
                </w:p>
              </w:tc>
              <w:tc>
                <w:tcPr>
                  <w:tcW w:w="714" w:type="dxa"/>
                  <w:tcBorders>
                    <w:top w:val="nil"/>
                    <w:left w:val="nil"/>
                    <w:bottom w:val="single" w:sz="4" w:space="0" w:color="auto"/>
                    <w:right w:val="single" w:sz="4" w:space="0" w:color="auto"/>
                  </w:tcBorders>
                  <w:shd w:val="clear" w:color="auto" w:fill="auto"/>
                  <w:noWrap/>
                  <w:vAlign w:val="bottom"/>
                  <w:hideMark/>
                </w:tcPr>
                <w:p w14:paraId="180B2F27"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12</w:t>
                  </w:r>
                </w:p>
              </w:tc>
            </w:tr>
            <w:tr w:rsidR="007D5F9E" w:rsidRPr="0000059D" w14:paraId="605D33B7" w14:textId="77777777" w:rsidTr="007D5F9E">
              <w:trPr>
                <w:trHeight w:val="77"/>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640A9C9B"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Tolima</w:t>
                  </w:r>
                </w:p>
              </w:tc>
              <w:tc>
                <w:tcPr>
                  <w:tcW w:w="1360" w:type="dxa"/>
                  <w:tcBorders>
                    <w:top w:val="nil"/>
                    <w:left w:val="nil"/>
                    <w:bottom w:val="single" w:sz="4" w:space="0" w:color="auto"/>
                    <w:right w:val="single" w:sz="4" w:space="0" w:color="auto"/>
                  </w:tcBorders>
                  <w:shd w:val="clear" w:color="auto" w:fill="auto"/>
                  <w:noWrap/>
                  <w:vAlign w:val="bottom"/>
                  <w:hideMark/>
                </w:tcPr>
                <w:p w14:paraId="0626C4B9"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 0</w:t>
                  </w:r>
                </w:p>
              </w:tc>
              <w:tc>
                <w:tcPr>
                  <w:tcW w:w="1314" w:type="dxa"/>
                  <w:tcBorders>
                    <w:top w:val="nil"/>
                    <w:left w:val="nil"/>
                    <w:bottom w:val="single" w:sz="4" w:space="0" w:color="auto"/>
                    <w:right w:val="single" w:sz="4" w:space="0" w:color="auto"/>
                  </w:tcBorders>
                  <w:shd w:val="clear" w:color="auto" w:fill="auto"/>
                  <w:noWrap/>
                  <w:vAlign w:val="bottom"/>
                  <w:hideMark/>
                </w:tcPr>
                <w:p w14:paraId="1855A9FA"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c>
                <w:tcPr>
                  <w:tcW w:w="714" w:type="dxa"/>
                  <w:tcBorders>
                    <w:top w:val="nil"/>
                    <w:left w:val="nil"/>
                    <w:bottom w:val="single" w:sz="4" w:space="0" w:color="auto"/>
                    <w:right w:val="single" w:sz="4" w:space="0" w:color="auto"/>
                  </w:tcBorders>
                  <w:shd w:val="clear" w:color="auto" w:fill="auto"/>
                  <w:noWrap/>
                  <w:vAlign w:val="bottom"/>
                  <w:hideMark/>
                </w:tcPr>
                <w:p w14:paraId="29669B36"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10</w:t>
                  </w:r>
                </w:p>
              </w:tc>
            </w:tr>
            <w:tr w:rsidR="007D5F9E" w:rsidRPr="0000059D" w14:paraId="6DED690F"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auto"/>
                  <w:noWrap/>
                  <w:vAlign w:val="bottom"/>
                  <w:hideMark/>
                </w:tcPr>
                <w:p w14:paraId="7295F029" w14:textId="77777777" w:rsidR="007D5F9E" w:rsidRPr="0000059D" w:rsidRDefault="007D5F9E" w:rsidP="007D5F9E">
                  <w:pPr>
                    <w:spacing w:after="0" w:line="240" w:lineRule="auto"/>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Valle del Cauca</w:t>
                  </w:r>
                </w:p>
              </w:tc>
              <w:tc>
                <w:tcPr>
                  <w:tcW w:w="1360" w:type="dxa"/>
                  <w:tcBorders>
                    <w:top w:val="nil"/>
                    <w:left w:val="nil"/>
                    <w:bottom w:val="single" w:sz="4" w:space="0" w:color="auto"/>
                    <w:right w:val="single" w:sz="4" w:space="0" w:color="auto"/>
                  </w:tcBorders>
                  <w:shd w:val="clear" w:color="auto" w:fill="auto"/>
                  <w:noWrap/>
                  <w:vAlign w:val="bottom"/>
                  <w:hideMark/>
                </w:tcPr>
                <w:p w14:paraId="7D2B3852"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2</w:t>
                  </w:r>
                </w:p>
              </w:tc>
              <w:tc>
                <w:tcPr>
                  <w:tcW w:w="1314" w:type="dxa"/>
                  <w:tcBorders>
                    <w:top w:val="nil"/>
                    <w:left w:val="nil"/>
                    <w:bottom w:val="single" w:sz="4" w:space="0" w:color="auto"/>
                    <w:right w:val="single" w:sz="4" w:space="0" w:color="auto"/>
                  </w:tcBorders>
                  <w:shd w:val="clear" w:color="auto" w:fill="auto"/>
                  <w:noWrap/>
                  <w:vAlign w:val="bottom"/>
                  <w:hideMark/>
                </w:tcPr>
                <w:p w14:paraId="7E1CA37D"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7</w:t>
                  </w:r>
                </w:p>
              </w:tc>
              <w:tc>
                <w:tcPr>
                  <w:tcW w:w="714" w:type="dxa"/>
                  <w:tcBorders>
                    <w:top w:val="nil"/>
                    <w:left w:val="nil"/>
                    <w:bottom w:val="single" w:sz="4" w:space="0" w:color="auto"/>
                    <w:right w:val="single" w:sz="4" w:space="0" w:color="auto"/>
                  </w:tcBorders>
                  <w:shd w:val="clear" w:color="auto" w:fill="auto"/>
                  <w:noWrap/>
                  <w:vAlign w:val="bottom"/>
                  <w:hideMark/>
                </w:tcPr>
                <w:p w14:paraId="2BB8DC6F" w14:textId="77777777" w:rsidR="007D5F9E" w:rsidRPr="0000059D" w:rsidRDefault="007D5F9E" w:rsidP="007D5F9E">
                  <w:pPr>
                    <w:spacing w:after="0" w:line="240" w:lineRule="auto"/>
                    <w:jc w:val="right"/>
                    <w:rPr>
                      <w:rFonts w:ascii="Arial Narrow" w:eastAsia="Times New Roman" w:hAnsi="Arial Narrow" w:cs="Arial"/>
                      <w:color w:val="000000"/>
                      <w:sz w:val="16"/>
                      <w:szCs w:val="16"/>
                      <w:lang w:eastAsia="es-CO"/>
                    </w:rPr>
                  </w:pPr>
                  <w:r w:rsidRPr="0000059D">
                    <w:rPr>
                      <w:rFonts w:ascii="Arial Narrow" w:eastAsia="Times New Roman" w:hAnsi="Arial Narrow" w:cs="Arial"/>
                      <w:color w:val="000000"/>
                      <w:sz w:val="16"/>
                      <w:szCs w:val="16"/>
                      <w:lang w:eastAsia="es-CO"/>
                    </w:rPr>
                    <w:t>9</w:t>
                  </w:r>
                </w:p>
              </w:tc>
            </w:tr>
            <w:tr w:rsidR="007D5F9E" w:rsidRPr="0000059D" w14:paraId="5C93FF3E" w14:textId="77777777" w:rsidTr="007D5F9E">
              <w:trPr>
                <w:trHeight w:val="70"/>
                <w:jc w:val="center"/>
              </w:trPr>
              <w:tc>
                <w:tcPr>
                  <w:tcW w:w="1754"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47E46361" w14:textId="77777777" w:rsidR="007D5F9E" w:rsidRPr="0000059D" w:rsidRDefault="007D5F9E" w:rsidP="007D5F9E">
                  <w:pPr>
                    <w:spacing w:after="0" w:line="240" w:lineRule="auto"/>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Total</w:t>
                  </w:r>
                </w:p>
              </w:tc>
              <w:tc>
                <w:tcPr>
                  <w:tcW w:w="1360" w:type="dxa"/>
                  <w:tcBorders>
                    <w:top w:val="nil"/>
                    <w:left w:val="nil"/>
                    <w:bottom w:val="single" w:sz="4" w:space="0" w:color="auto"/>
                    <w:right w:val="single" w:sz="4" w:space="0" w:color="auto"/>
                  </w:tcBorders>
                  <w:shd w:val="clear" w:color="auto" w:fill="8EAADB" w:themeFill="accent1" w:themeFillTint="99"/>
                  <w:noWrap/>
                  <w:vAlign w:val="bottom"/>
                  <w:hideMark/>
                </w:tcPr>
                <w:p w14:paraId="1FC54EB1"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130</w:t>
                  </w:r>
                </w:p>
              </w:tc>
              <w:tc>
                <w:tcPr>
                  <w:tcW w:w="1314" w:type="dxa"/>
                  <w:tcBorders>
                    <w:top w:val="nil"/>
                    <w:left w:val="nil"/>
                    <w:bottom w:val="single" w:sz="4" w:space="0" w:color="auto"/>
                    <w:right w:val="single" w:sz="4" w:space="0" w:color="auto"/>
                  </w:tcBorders>
                  <w:shd w:val="clear" w:color="auto" w:fill="8EAADB" w:themeFill="accent1" w:themeFillTint="99"/>
                  <w:noWrap/>
                  <w:vAlign w:val="bottom"/>
                  <w:hideMark/>
                </w:tcPr>
                <w:p w14:paraId="6F689698"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433</w:t>
                  </w:r>
                </w:p>
              </w:tc>
              <w:tc>
                <w:tcPr>
                  <w:tcW w:w="714" w:type="dxa"/>
                  <w:tcBorders>
                    <w:top w:val="nil"/>
                    <w:left w:val="nil"/>
                    <w:bottom w:val="single" w:sz="4" w:space="0" w:color="auto"/>
                    <w:right w:val="single" w:sz="4" w:space="0" w:color="auto"/>
                  </w:tcBorders>
                  <w:shd w:val="clear" w:color="auto" w:fill="8EAADB" w:themeFill="accent1" w:themeFillTint="99"/>
                  <w:noWrap/>
                  <w:vAlign w:val="bottom"/>
                  <w:hideMark/>
                </w:tcPr>
                <w:p w14:paraId="1A662B33" w14:textId="77777777" w:rsidR="007D5F9E" w:rsidRPr="0000059D" w:rsidRDefault="007D5F9E" w:rsidP="007D5F9E">
                  <w:pPr>
                    <w:spacing w:after="0" w:line="240" w:lineRule="auto"/>
                    <w:jc w:val="right"/>
                    <w:rPr>
                      <w:rFonts w:ascii="Arial Narrow" w:eastAsia="Times New Roman" w:hAnsi="Arial Narrow" w:cs="Arial"/>
                      <w:b/>
                      <w:bCs/>
                      <w:color w:val="000000"/>
                      <w:sz w:val="16"/>
                      <w:szCs w:val="16"/>
                      <w:lang w:eastAsia="es-CO"/>
                    </w:rPr>
                  </w:pPr>
                  <w:r w:rsidRPr="0000059D">
                    <w:rPr>
                      <w:rFonts w:ascii="Arial Narrow" w:eastAsia="Times New Roman" w:hAnsi="Arial Narrow" w:cs="Arial"/>
                      <w:b/>
                      <w:bCs/>
                      <w:color w:val="000000"/>
                      <w:sz w:val="16"/>
                      <w:szCs w:val="16"/>
                      <w:lang w:eastAsia="es-CO"/>
                    </w:rPr>
                    <w:t>563*</w:t>
                  </w:r>
                </w:p>
              </w:tc>
            </w:tr>
          </w:tbl>
          <w:p w14:paraId="34B3E4CF" w14:textId="77777777" w:rsidR="007D5F9E" w:rsidRPr="00104F76" w:rsidRDefault="007D5F9E" w:rsidP="007D5F9E">
            <w:pPr>
              <w:ind w:left="108"/>
              <w:jc w:val="center"/>
              <w:rPr>
                <w:rFonts w:eastAsia="Times New Roman" w:cstheme="minorHAnsi"/>
                <w:bCs/>
                <w:i/>
                <w:sz w:val="16"/>
                <w:szCs w:val="16"/>
                <w:lang w:eastAsia="es-CO"/>
              </w:rPr>
            </w:pPr>
            <w:r w:rsidRPr="00104F76">
              <w:rPr>
                <w:rFonts w:eastAsia="Times New Roman" w:cstheme="minorHAnsi"/>
                <w:bCs/>
                <w:i/>
                <w:sz w:val="16"/>
                <w:szCs w:val="16"/>
                <w:lang w:eastAsia="es-CO"/>
              </w:rPr>
              <w:t>Fuente: Tablero de control proyectos productivos, equipo de generación de ingresos</w:t>
            </w:r>
          </w:p>
          <w:p w14:paraId="745DB9A1" w14:textId="77777777" w:rsidR="007D5F9E" w:rsidRPr="00104F76" w:rsidRDefault="007D5F9E" w:rsidP="007D5F9E">
            <w:pPr>
              <w:rPr>
                <w:rFonts w:cstheme="minorHAnsi"/>
                <w:sz w:val="16"/>
                <w:szCs w:val="16"/>
              </w:rPr>
            </w:pPr>
            <w:r w:rsidRPr="00104F76">
              <w:rPr>
                <w:rFonts w:cstheme="minorHAnsi"/>
                <w:sz w:val="16"/>
                <w:szCs w:val="16"/>
              </w:rPr>
              <w:t xml:space="preserve">*Personas contabilizadas de acuerdo con la fecha de notificación de desembolso. </w:t>
            </w:r>
          </w:p>
          <w:p w14:paraId="4AA74CEC" w14:textId="77777777" w:rsidR="007D5F9E" w:rsidRDefault="007D5F9E" w:rsidP="007D5F9E">
            <w:pPr>
              <w:pStyle w:val="Prrafodelista"/>
              <w:ind w:left="0"/>
              <w:rPr>
                <w:rFonts w:cstheme="minorHAnsi"/>
                <w:sz w:val="24"/>
                <w:szCs w:val="24"/>
              </w:rPr>
            </w:pPr>
          </w:p>
          <w:p w14:paraId="0F3EE842" w14:textId="77777777" w:rsidR="007D5F9E" w:rsidRPr="00377266" w:rsidRDefault="007D5F9E" w:rsidP="007D5F9E">
            <w:pPr>
              <w:pStyle w:val="Prrafodelista"/>
              <w:ind w:left="0"/>
              <w:rPr>
                <w:rFonts w:cstheme="minorHAnsi"/>
                <w:sz w:val="24"/>
                <w:szCs w:val="24"/>
              </w:rPr>
            </w:pPr>
            <w:r w:rsidRPr="00377266">
              <w:rPr>
                <w:rFonts w:cstheme="minorHAnsi"/>
                <w:sz w:val="24"/>
                <w:szCs w:val="24"/>
              </w:rPr>
              <w:t>Número de personas beneficiadas de desembolso de proyectos productivos individuales y colectivos para el año 202</w:t>
            </w:r>
            <w:r>
              <w:rPr>
                <w:rFonts w:cstheme="minorHAnsi"/>
                <w:sz w:val="24"/>
                <w:szCs w:val="24"/>
              </w:rPr>
              <w:t>1</w:t>
            </w:r>
          </w:p>
          <w:p w14:paraId="7B60DC60" w14:textId="77777777" w:rsidR="007D5F9E" w:rsidRPr="00377266" w:rsidRDefault="007D5F9E" w:rsidP="007D5F9E">
            <w:pPr>
              <w:pStyle w:val="Prrafodelista"/>
              <w:ind w:left="2627"/>
              <w:rPr>
                <w:rFonts w:cstheme="minorHAnsi"/>
                <w:sz w:val="24"/>
                <w:szCs w:val="24"/>
              </w:rPr>
            </w:pPr>
          </w:p>
          <w:tbl>
            <w:tblPr>
              <w:tblStyle w:val="Tablaconcuadrcula"/>
              <w:tblW w:w="4915" w:type="dxa"/>
              <w:tblInd w:w="1024" w:type="dxa"/>
              <w:tblLook w:val="04A0" w:firstRow="1" w:lastRow="0" w:firstColumn="1" w:lastColumn="0" w:noHBand="0" w:noVBand="1"/>
            </w:tblPr>
            <w:tblGrid>
              <w:gridCol w:w="1513"/>
              <w:gridCol w:w="1276"/>
              <w:gridCol w:w="1276"/>
              <w:gridCol w:w="850"/>
            </w:tblGrid>
            <w:tr w:rsidR="007D5F9E" w:rsidRPr="00377266" w14:paraId="79E79C6F" w14:textId="77777777" w:rsidTr="007D5F9E">
              <w:tc>
                <w:tcPr>
                  <w:tcW w:w="1513" w:type="dxa"/>
                  <w:shd w:val="clear" w:color="auto" w:fill="8EAADB" w:themeFill="accent1" w:themeFillTint="99"/>
                </w:tcPr>
                <w:p w14:paraId="4DF35C1D" w14:textId="77777777" w:rsidR="007D5F9E" w:rsidRPr="00377266" w:rsidRDefault="007D5F9E" w:rsidP="007D5F9E">
                  <w:pPr>
                    <w:pStyle w:val="Prrafodelista"/>
                    <w:ind w:left="0"/>
                    <w:rPr>
                      <w:rFonts w:cstheme="minorHAnsi"/>
                    </w:rPr>
                  </w:pPr>
                  <w:r w:rsidRPr="00377266">
                    <w:rPr>
                      <w:rFonts w:cstheme="minorHAnsi"/>
                    </w:rPr>
                    <w:t>Proyectos</w:t>
                  </w:r>
                </w:p>
              </w:tc>
              <w:tc>
                <w:tcPr>
                  <w:tcW w:w="1276" w:type="dxa"/>
                  <w:shd w:val="clear" w:color="auto" w:fill="8EAADB" w:themeFill="accent1" w:themeFillTint="99"/>
                </w:tcPr>
                <w:p w14:paraId="0C21AD83" w14:textId="77777777" w:rsidR="007D5F9E" w:rsidRPr="00377266" w:rsidRDefault="007D5F9E" w:rsidP="007D5F9E">
                  <w:pPr>
                    <w:pStyle w:val="Prrafodelista"/>
                    <w:ind w:left="0"/>
                    <w:rPr>
                      <w:rFonts w:cstheme="minorHAnsi"/>
                    </w:rPr>
                  </w:pPr>
                  <w:r w:rsidRPr="00377266">
                    <w:rPr>
                      <w:rFonts w:cstheme="minorHAnsi"/>
                    </w:rPr>
                    <w:t>Femenino</w:t>
                  </w:r>
                </w:p>
              </w:tc>
              <w:tc>
                <w:tcPr>
                  <w:tcW w:w="1276" w:type="dxa"/>
                  <w:shd w:val="clear" w:color="auto" w:fill="8EAADB" w:themeFill="accent1" w:themeFillTint="99"/>
                </w:tcPr>
                <w:p w14:paraId="030A406D" w14:textId="77777777" w:rsidR="007D5F9E" w:rsidRPr="00377266" w:rsidRDefault="007D5F9E" w:rsidP="007D5F9E">
                  <w:pPr>
                    <w:pStyle w:val="Prrafodelista"/>
                    <w:ind w:left="0"/>
                    <w:rPr>
                      <w:rFonts w:cstheme="minorHAnsi"/>
                    </w:rPr>
                  </w:pPr>
                  <w:r w:rsidRPr="00377266">
                    <w:rPr>
                      <w:rFonts w:cstheme="minorHAnsi"/>
                    </w:rPr>
                    <w:t>Masculino</w:t>
                  </w:r>
                </w:p>
              </w:tc>
              <w:tc>
                <w:tcPr>
                  <w:tcW w:w="850" w:type="dxa"/>
                  <w:shd w:val="clear" w:color="auto" w:fill="8EAADB" w:themeFill="accent1" w:themeFillTint="99"/>
                </w:tcPr>
                <w:p w14:paraId="3B56542A" w14:textId="77777777" w:rsidR="007D5F9E" w:rsidRPr="00377266" w:rsidRDefault="007D5F9E" w:rsidP="007D5F9E">
                  <w:pPr>
                    <w:pStyle w:val="Prrafodelista"/>
                    <w:ind w:left="0"/>
                    <w:rPr>
                      <w:rFonts w:cstheme="minorHAnsi"/>
                    </w:rPr>
                  </w:pPr>
                  <w:r w:rsidRPr="00377266">
                    <w:rPr>
                      <w:rFonts w:cstheme="minorHAnsi"/>
                    </w:rPr>
                    <w:t>Total</w:t>
                  </w:r>
                </w:p>
              </w:tc>
            </w:tr>
            <w:tr w:rsidR="007D5F9E" w:rsidRPr="00377266" w14:paraId="4865B7FC" w14:textId="77777777" w:rsidTr="007D5F9E">
              <w:tc>
                <w:tcPr>
                  <w:tcW w:w="1513" w:type="dxa"/>
                  <w:shd w:val="clear" w:color="auto" w:fill="FFFFFF" w:themeFill="background1"/>
                </w:tcPr>
                <w:p w14:paraId="4569429D" w14:textId="77777777" w:rsidR="007D5F9E" w:rsidRPr="00377266" w:rsidRDefault="007D5F9E" w:rsidP="007D5F9E">
                  <w:pPr>
                    <w:pStyle w:val="Prrafodelista"/>
                    <w:ind w:left="0"/>
                    <w:rPr>
                      <w:rFonts w:cstheme="minorHAnsi"/>
                    </w:rPr>
                  </w:pPr>
                  <w:r w:rsidRPr="00377266">
                    <w:rPr>
                      <w:rFonts w:cstheme="minorHAnsi"/>
                    </w:rPr>
                    <w:t>Individuales</w:t>
                  </w:r>
                </w:p>
              </w:tc>
              <w:tc>
                <w:tcPr>
                  <w:tcW w:w="1276" w:type="dxa"/>
                  <w:shd w:val="clear" w:color="auto" w:fill="FFFFFF" w:themeFill="background1"/>
                </w:tcPr>
                <w:p w14:paraId="722D5746" w14:textId="77777777" w:rsidR="007D5F9E" w:rsidRPr="00377266" w:rsidRDefault="007D5F9E" w:rsidP="007D5F9E">
                  <w:pPr>
                    <w:pStyle w:val="Prrafodelista"/>
                    <w:ind w:left="0"/>
                    <w:rPr>
                      <w:rFonts w:cstheme="minorHAnsi"/>
                    </w:rPr>
                  </w:pPr>
                  <w:r w:rsidRPr="00377266">
                    <w:rPr>
                      <w:rFonts w:cstheme="minorHAnsi"/>
                    </w:rPr>
                    <w:t>4</w:t>
                  </w:r>
                  <w:r>
                    <w:rPr>
                      <w:rFonts w:cstheme="minorHAnsi"/>
                    </w:rPr>
                    <w:t>36</w:t>
                  </w:r>
                </w:p>
              </w:tc>
              <w:tc>
                <w:tcPr>
                  <w:tcW w:w="1276" w:type="dxa"/>
                  <w:shd w:val="clear" w:color="auto" w:fill="FFFFFF" w:themeFill="background1"/>
                </w:tcPr>
                <w:p w14:paraId="507A1B41" w14:textId="77777777" w:rsidR="007D5F9E" w:rsidRPr="00377266" w:rsidRDefault="007D5F9E" w:rsidP="007D5F9E">
                  <w:pPr>
                    <w:pStyle w:val="Prrafodelista"/>
                    <w:ind w:left="0"/>
                    <w:rPr>
                      <w:rFonts w:cstheme="minorHAnsi"/>
                    </w:rPr>
                  </w:pPr>
                  <w:r w:rsidRPr="00377266">
                    <w:rPr>
                      <w:rFonts w:cstheme="minorHAnsi"/>
                    </w:rPr>
                    <w:t>1.</w:t>
                  </w:r>
                  <w:r>
                    <w:rPr>
                      <w:rFonts w:cstheme="minorHAnsi"/>
                    </w:rPr>
                    <w:t>4</w:t>
                  </w:r>
                  <w:r w:rsidRPr="00377266">
                    <w:rPr>
                      <w:rFonts w:cstheme="minorHAnsi"/>
                    </w:rPr>
                    <w:t>5</w:t>
                  </w:r>
                  <w:r>
                    <w:rPr>
                      <w:rFonts w:cstheme="minorHAnsi"/>
                    </w:rPr>
                    <w:t>4</w:t>
                  </w:r>
                </w:p>
              </w:tc>
              <w:tc>
                <w:tcPr>
                  <w:tcW w:w="850" w:type="dxa"/>
                  <w:shd w:val="clear" w:color="auto" w:fill="FFFFFF" w:themeFill="background1"/>
                </w:tcPr>
                <w:p w14:paraId="77746C25" w14:textId="77777777" w:rsidR="007D5F9E" w:rsidRPr="00377266" w:rsidRDefault="007D5F9E" w:rsidP="007D5F9E">
                  <w:pPr>
                    <w:pStyle w:val="Prrafodelista"/>
                    <w:ind w:left="0"/>
                    <w:rPr>
                      <w:rFonts w:cstheme="minorHAnsi"/>
                    </w:rPr>
                  </w:pPr>
                  <w:r w:rsidRPr="00377266">
                    <w:rPr>
                      <w:rFonts w:cstheme="minorHAnsi"/>
                    </w:rPr>
                    <w:t>1.</w:t>
                  </w:r>
                  <w:r>
                    <w:rPr>
                      <w:rFonts w:cstheme="minorHAnsi"/>
                    </w:rPr>
                    <w:t>890</w:t>
                  </w:r>
                </w:p>
              </w:tc>
            </w:tr>
            <w:tr w:rsidR="007D5F9E" w:rsidRPr="00377266" w14:paraId="2CDB9002" w14:textId="77777777" w:rsidTr="007D5F9E">
              <w:tc>
                <w:tcPr>
                  <w:tcW w:w="1513" w:type="dxa"/>
                  <w:shd w:val="clear" w:color="auto" w:fill="FFFFFF" w:themeFill="background1"/>
                </w:tcPr>
                <w:p w14:paraId="015011CC" w14:textId="77777777" w:rsidR="007D5F9E" w:rsidRPr="00377266" w:rsidRDefault="007D5F9E" w:rsidP="007D5F9E">
                  <w:pPr>
                    <w:pStyle w:val="Prrafodelista"/>
                    <w:ind w:left="0"/>
                    <w:rPr>
                      <w:rFonts w:cstheme="minorHAnsi"/>
                    </w:rPr>
                  </w:pPr>
                  <w:r w:rsidRPr="00377266">
                    <w:rPr>
                      <w:rFonts w:cstheme="minorHAnsi"/>
                    </w:rPr>
                    <w:t xml:space="preserve">Colectivos </w:t>
                  </w:r>
                </w:p>
              </w:tc>
              <w:tc>
                <w:tcPr>
                  <w:tcW w:w="1276" w:type="dxa"/>
                  <w:shd w:val="clear" w:color="auto" w:fill="FFFFFF" w:themeFill="background1"/>
                </w:tcPr>
                <w:p w14:paraId="77C76B04" w14:textId="77777777" w:rsidR="007D5F9E" w:rsidRPr="00377266" w:rsidRDefault="007D5F9E" w:rsidP="007D5F9E">
                  <w:pPr>
                    <w:pStyle w:val="Prrafodelista"/>
                    <w:ind w:left="0"/>
                    <w:rPr>
                      <w:rFonts w:cstheme="minorHAnsi"/>
                    </w:rPr>
                  </w:pPr>
                  <w:r w:rsidRPr="00377266">
                    <w:rPr>
                      <w:rFonts w:cstheme="minorHAnsi"/>
                    </w:rPr>
                    <w:t>1</w:t>
                  </w:r>
                  <w:r>
                    <w:rPr>
                      <w:rFonts w:cstheme="minorHAnsi"/>
                    </w:rPr>
                    <w:t>30</w:t>
                  </w:r>
                </w:p>
              </w:tc>
              <w:tc>
                <w:tcPr>
                  <w:tcW w:w="1276" w:type="dxa"/>
                  <w:shd w:val="clear" w:color="auto" w:fill="FFFFFF" w:themeFill="background1"/>
                </w:tcPr>
                <w:p w14:paraId="3861633A" w14:textId="77777777" w:rsidR="007D5F9E" w:rsidRPr="00377266" w:rsidRDefault="007D5F9E" w:rsidP="007D5F9E">
                  <w:pPr>
                    <w:pStyle w:val="Prrafodelista"/>
                    <w:ind w:left="0"/>
                    <w:rPr>
                      <w:rFonts w:cstheme="minorHAnsi"/>
                    </w:rPr>
                  </w:pPr>
                  <w:r>
                    <w:rPr>
                      <w:rFonts w:cstheme="minorHAnsi"/>
                    </w:rPr>
                    <w:t>4</w:t>
                  </w:r>
                  <w:r w:rsidRPr="00377266">
                    <w:rPr>
                      <w:rFonts w:cstheme="minorHAnsi"/>
                    </w:rPr>
                    <w:t>3</w:t>
                  </w:r>
                  <w:r>
                    <w:rPr>
                      <w:rFonts w:cstheme="minorHAnsi"/>
                    </w:rPr>
                    <w:t>3</w:t>
                  </w:r>
                </w:p>
              </w:tc>
              <w:tc>
                <w:tcPr>
                  <w:tcW w:w="850" w:type="dxa"/>
                  <w:shd w:val="clear" w:color="auto" w:fill="FFFFFF" w:themeFill="background1"/>
                </w:tcPr>
                <w:p w14:paraId="0B28874F" w14:textId="77777777" w:rsidR="007D5F9E" w:rsidRPr="00377266" w:rsidRDefault="007D5F9E" w:rsidP="007D5F9E">
                  <w:pPr>
                    <w:pStyle w:val="Prrafodelista"/>
                    <w:ind w:left="0"/>
                    <w:rPr>
                      <w:rFonts w:cstheme="minorHAnsi"/>
                    </w:rPr>
                  </w:pPr>
                  <w:r w:rsidRPr="00377266">
                    <w:rPr>
                      <w:rFonts w:cstheme="minorHAnsi"/>
                    </w:rPr>
                    <w:t>5</w:t>
                  </w:r>
                  <w:r>
                    <w:rPr>
                      <w:rFonts w:cstheme="minorHAnsi"/>
                    </w:rPr>
                    <w:t>6</w:t>
                  </w:r>
                  <w:r w:rsidRPr="00377266">
                    <w:rPr>
                      <w:rFonts w:cstheme="minorHAnsi"/>
                    </w:rPr>
                    <w:t>3</w:t>
                  </w:r>
                </w:p>
              </w:tc>
            </w:tr>
            <w:tr w:rsidR="007D5F9E" w:rsidRPr="00E967F9" w14:paraId="74381344" w14:textId="77777777" w:rsidTr="007D5F9E">
              <w:tc>
                <w:tcPr>
                  <w:tcW w:w="1513" w:type="dxa"/>
                  <w:shd w:val="clear" w:color="auto" w:fill="8EAADB" w:themeFill="accent1" w:themeFillTint="99"/>
                </w:tcPr>
                <w:p w14:paraId="7E3059F1" w14:textId="77777777" w:rsidR="007D5F9E" w:rsidRPr="00E967F9" w:rsidRDefault="007D5F9E" w:rsidP="007D5F9E">
                  <w:pPr>
                    <w:pStyle w:val="Prrafodelista"/>
                    <w:ind w:left="0"/>
                    <w:rPr>
                      <w:rFonts w:cstheme="minorHAnsi"/>
                      <w:b/>
                    </w:rPr>
                  </w:pPr>
                  <w:r w:rsidRPr="00E967F9">
                    <w:rPr>
                      <w:rFonts w:cstheme="minorHAnsi"/>
                      <w:b/>
                    </w:rPr>
                    <w:t>Total</w:t>
                  </w:r>
                </w:p>
              </w:tc>
              <w:tc>
                <w:tcPr>
                  <w:tcW w:w="1276" w:type="dxa"/>
                  <w:shd w:val="clear" w:color="auto" w:fill="8EAADB" w:themeFill="accent1" w:themeFillTint="99"/>
                </w:tcPr>
                <w:p w14:paraId="1FF75BC1" w14:textId="77777777" w:rsidR="007D5F9E" w:rsidRPr="00E967F9" w:rsidRDefault="007D5F9E" w:rsidP="007D5F9E">
                  <w:pPr>
                    <w:pStyle w:val="Prrafodelista"/>
                    <w:ind w:left="0"/>
                    <w:rPr>
                      <w:rFonts w:cstheme="minorHAnsi"/>
                      <w:b/>
                    </w:rPr>
                  </w:pPr>
                  <w:r w:rsidRPr="00E967F9">
                    <w:rPr>
                      <w:rFonts w:cstheme="minorHAnsi"/>
                      <w:b/>
                    </w:rPr>
                    <w:t>5</w:t>
                  </w:r>
                  <w:r>
                    <w:rPr>
                      <w:rFonts w:cstheme="minorHAnsi"/>
                      <w:b/>
                    </w:rPr>
                    <w:t>66</w:t>
                  </w:r>
                </w:p>
              </w:tc>
              <w:tc>
                <w:tcPr>
                  <w:tcW w:w="1276" w:type="dxa"/>
                  <w:shd w:val="clear" w:color="auto" w:fill="8EAADB" w:themeFill="accent1" w:themeFillTint="99"/>
                </w:tcPr>
                <w:p w14:paraId="6F87AF7C" w14:textId="77777777" w:rsidR="007D5F9E" w:rsidRPr="00E967F9" w:rsidRDefault="007D5F9E" w:rsidP="007D5F9E">
                  <w:pPr>
                    <w:pStyle w:val="Prrafodelista"/>
                    <w:ind w:left="0"/>
                    <w:rPr>
                      <w:rFonts w:cstheme="minorHAnsi"/>
                      <w:b/>
                    </w:rPr>
                  </w:pPr>
                  <w:r w:rsidRPr="00E967F9">
                    <w:rPr>
                      <w:rFonts w:cstheme="minorHAnsi"/>
                      <w:b/>
                    </w:rPr>
                    <w:t>1.</w:t>
                  </w:r>
                  <w:r>
                    <w:rPr>
                      <w:rFonts w:cstheme="minorHAnsi"/>
                      <w:b/>
                    </w:rPr>
                    <w:t>887</w:t>
                  </w:r>
                </w:p>
              </w:tc>
              <w:tc>
                <w:tcPr>
                  <w:tcW w:w="850" w:type="dxa"/>
                  <w:shd w:val="clear" w:color="auto" w:fill="8EAADB" w:themeFill="accent1" w:themeFillTint="99"/>
                </w:tcPr>
                <w:p w14:paraId="436426FA" w14:textId="77777777" w:rsidR="007D5F9E" w:rsidRPr="00E967F9" w:rsidRDefault="007D5F9E" w:rsidP="007D5F9E">
                  <w:pPr>
                    <w:pStyle w:val="Prrafodelista"/>
                    <w:ind w:left="0"/>
                    <w:rPr>
                      <w:rFonts w:cstheme="minorHAnsi"/>
                      <w:b/>
                    </w:rPr>
                  </w:pPr>
                  <w:r w:rsidRPr="00E967F9">
                    <w:rPr>
                      <w:rFonts w:cstheme="minorHAnsi"/>
                      <w:b/>
                    </w:rPr>
                    <w:t>2.</w:t>
                  </w:r>
                  <w:r>
                    <w:rPr>
                      <w:rFonts w:cstheme="minorHAnsi"/>
                      <w:b/>
                    </w:rPr>
                    <w:t>453</w:t>
                  </w:r>
                </w:p>
              </w:tc>
            </w:tr>
          </w:tbl>
          <w:p w14:paraId="26481EBA" w14:textId="77777777" w:rsidR="007D5F9E" w:rsidRPr="00E967F9" w:rsidRDefault="007D5F9E" w:rsidP="007D5F9E">
            <w:pPr>
              <w:jc w:val="center"/>
              <w:rPr>
                <w:rFonts w:cstheme="minorHAnsi"/>
                <w:i/>
              </w:rPr>
            </w:pPr>
            <w:r w:rsidRPr="00E967F9">
              <w:rPr>
                <w:rFonts w:cstheme="minorHAnsi"/>
                <w:i/>
              </w:rPr>
              <w:t xml:space="preserve">Fuente: </w:t>
            </w:r>
            <w:r w:rsidRPr="00E967F9">
              <w:rPr>
                <w:rFonts w:eastAsia="Times New Roman" w:cstheme="minorHAnsi"/>
                <w:bCs/>
                <w:i/>
                <w:lang w:eastAsia="es-CO"/>
              </w:rPr>
              <w:t>Tablero de control proyectos productivos, equipo de generación de ingresos</w:t>
            </w:r>
          </w:p>
          <w:p w14:paraId="37CF8556" w14:textId="77777777" w:rsidR="007D5F9E" w:rsidRDefault="007D5F9E" w:rsidP="007D5F9E">
            <w:pPr>
              <w:rPr>
                <w:b/>
                <w:bCs/>
                <w:iCs/>
                <w:sz w:val="24"/>
                <w:szCs w:val="24"/>
              </w:rPr>
            </w:pPr>
          </w:p>
          <w:p w14:paraId="2F3AFDD3" w14:textId="77777777" w:rsidR="007D5F9E" w:rsidRPr="00182D34" w:rsidRDefault="007D5F9E" w:rsidP="00631DF4">
            <w:pPr>
              <w:pStyle w:val="Prrafodelista"/>
              <w:numPr>
                <w:ilvl w:val="0"/>
                <w:numId w:val="23"/>
              </w:numPr>
              <w:jc w:val="both"/>
              <w:rPr>
                <w:rFonts w:cstheme="minorHAnsi"/>
                <w:b/>
              </w:rPr>
            </w:pPr>
            <w:r w:rsidRPr="009F063B">
              <w:rPr>
                <w:rFonts w:cstheme="minorHAnsi"/>
                <w:b/>
                <w:u w:val="single"/>
              </w:rPr>
              <w:t>Planes y programas de reincorporación social y económica implementados,</w:t>
            </w:r>
            <w:r w:rsidRPr="00182D34">
              <w:rPr>
                <w:rFonts w:cstheme="minorHAnsi"/>
                <w:b/>
              </w:rPr>
              <w:t xml:space="preserve"> </w:t>
            </w:r>
            <w:r w:rsidRPr="00182D34">
              <w:rPr>
                <w:rFonts w:cstheme="minorHAnsi"/>
              </w:rPr>
              <w:t>hace referencia al Programa Camino Diferencial de Vida, la Estrategia de Reincorporación Comunitaria y programa Especial de Armonización para la Reintegración y Reincorporación Social y Económica con Enfoque Diferencial Étnico y de Género.</w:t>
            </w:r>
          </w:p>
          <w:p w14:paraId="0528495E" w14:textId="77777777" w:rsidR="007D5F9E" w:rsidRDefault="007D5F9E" w:rsidP="007D5F9E">
            <w:pPr>
              <w:rPr>
                <w:b/>
                <w:bCs/>
                <w:iCs/>
                <w:sz w:val="24"/>
                <w:szCs w:val="24"/>
              </w:rPr>
            </w:pPr>
          </w:p>
          <w:p w14:paraId="18FEB1D9" w14:textId="52EC127B" w:rsidR="007D5F9E" w:rsidRPr="00AF1012" w:rsidRDefault="007D5F9E" w:rsidP="00AF1012">
            <w:pPr>
              <w:pStyle w:val="Prrafodelista"/>
              <w:numPr>
                <w:ilvl w:val="0"/>
                <w:numId w:val="24"/>
              </w:numPr>
              <w:rPr>
                <w:rFonts w:cstheme="minorHAnsi"/>
              </w:rPr>
            </w:pPr>
            <w:r w:rsidRPr="00AF1012">
              <w:rPr>
                <w:rFonts w:cstheme="minorHAnsi"/>
                <w:b/>
              </w:rPr>
              <w:t>Programa Camino Diferencial de Vida</w:t>
            </w:r>
            <w:r w:rsidRPr="00AF1012">
              <w:rPr>
                <w:rFonts w:cstheme="minorHAnsi"/>
              </w:rPr>
              <w:t>:</w:t>
            </w:r>
            <w:r w:rsidR="00AF1012">
              <w:rPr>
                <w:rFonts w:cstheme="minorHAnsi"/>
              </w:rPr>
              <w:t xml:space="preserve"> </w:t>
            </w:r>
            <w:r w:rsidRPr="00AF1012">
              <w:rPr>
                <w:rFonts w:cstheme="minorHAnsi"/>
              </w:rPr>
              <w:t>Se desarrolla en los territorios donde adelantan su reincorporación los jóvenes que hacen parte del Programa. La ubicación de la población por departamento es:</w:t>
            </w:r>
          </w:p>
          <w:p w14:paraId="7DF9939E" w14:textId="77777777" w:rsidR="007D5F9E" w:rsidRDefault="007D5F9E" w:rsidP="007D5F9E">
            <w:pPr>
              <w:pStyle w:val="Prrafodelista"/>
              <w:ind w:left="21"/>
              <w:rPr>
                <w:rFonts w:cstheme="minorHAnsi"/>
              </w:rPr>
            </w:pPr>
          </w:p>
          <w:tbl>
            <w:tblPr>
              <w:tblW w:w="4980" w:type="dxa"/>
              <w:jc w:val="center"/>
              <w:tblCellMar>
                <w:left w:w="70" w:type="dxa"/>
                <w:right w:w="70" w:type="dxa"/>
              </w:tblCellMar>
              <w:tblLook w:val="04A0" w:firstRow="1" w:lastRow="0" w:firstColumn="1" w:lastColumn="0" w:noHBand="0" w:noVBand="1"/>
            </w:tblPr>
            <w:tblGrid>
              <w:gridCol w:w="1940"/>
              <w:gridCol w:w="3040"/>
            </w:tblGrid>
            <w:tr w:rsidR="007D5F9E" w:rsidRPr="007E07C5" w14:paraId="464244BE" w14:textId="77777777" w:rsidTr="007D5F9E">
              <w:trPr>
                <w:trHeight w:val="390"/>
                <w:tblHeader/>
                <w:jc w:val="center"/>
              </w:trPr>
              <w:tc>
                <w:tcPr>
                  <w:tcW w:w="1940" w:type="dxa"/>
                  <w:tcBorders>
                    <w:top w:val="single" w:sz="8" w:space="0" w:color="auto"/>
                    <w:left w:val="single" w:sz="8" w:space="0" w:color="auto"/>
                    <w:bottom w:val="single" w:sz="8" w:space="0" w:color="auto"/>
                    <w:right w:val="single" w:sz="4" w:space="0" w:color="auto"/>
                  </w:tcBorders>
                  <w:shd w:val="clear" w:color="auto" w:fill="2F5496" w:themeFill="accent1" w:themeFillShade="BF"/>
                  <w:noWrap/>
                  <w:vAlign w:val="center"/>
                  <w:hideMark/>
                </w:tcPr>
                <w:p w14:paraId="6AA100AB" w14:textId="77777777" w:rsidR="007D5F9E" w:rsidRPr="007E07C5" w:rsidRDefault="007D5F9E" w:rsidP="007D5F9E">
                  <w:pPr>
                    <w:spacing w:after="0" w:line="240" w:lineRule="auto"/>
                    <w:jc w:val="center"/>
                    <w:rPr>
                      <w:rFonts w:eastAsia="Times New Roman"/>
                      <w:b/>
                      <w:bCs/>
                      <w:color w:val="FFFFFF"/>
                      <w:lang w:eastAsia="es-CO"/>
                    </w:rPr>
                  </w:pPr>
                  <w:r w:rsidRPr="007E07C5">
                    <w:rPr>
                      <w:rFonts w:eastAsia="Times New Roman"/>
                      <w:b/>
                      <w:bCs/>
                      <w:color w:val="FFFFFF"/>
                      <w:lang w:eastAsia="es-CO"/>
                    </w:rPr>
                    <w:t>Departamento</w:t>
                  </w:r>
                </w:p>
              </w:tc>
              <w:tc>
                <w:tcPr>
                  <w:tcW w:w="3040" w:type="dxa"/>
                  <w:tcBorders>
                    <w:top w:val="single" w:sz="8" w:space="0" w:color="auto"/>
                    <w:left w:val="nil"/>
                    <w:bottom w:val="single" w:sz="8" w:space="0" w:color="auto"/>
                    <w:right w:val="single" w:sz="8" w:space="0" w:color="auto"/>
                  </w:tcBorders>
                  <w:shd w:val="clear" w:color="auto" w:fill="2F5496" w:themeFill="accent1" w:themeFillShade="BF"/>
                  <w:noWrap/>
                  <w:vAlign w:val="center"/>
                  <w:hideMark/>
                </w:tcPr>
                <w:p w14:paraId="3DA38C18" w14:textId="77777777" w:rsidR="007D5F9E" w:rsidRPr="007E07C5" w:rsidRDefault="007D5F9E" w:rsidP="007D5F9E">
                  <w:pPr>
                    <w:spacing w:after="0" w:line="240" w:lineRule="auto"/>
                    <w:jc w:val="center"/>
                    <w:rPr>
                      <w:rFonts w:eastAsia="Times New Roman"/>
                      <w:b/>
                      <w:bCs/>
                      <w:color w:val="FFFFFF"/>
                      <w:lang w:eastAsia="es-CO"/>
                    </w:rPr>
                  </w:pPr>
                  <w:r w:rsidRPr="007E07C5">
                    <w:rPr>
                      <w:rFonts w:eastAsia="Times New Roman"/>
                      <w:b/>
                      <w:bCs/>
                      <w:color w:val="FFFFFF"/>
                      <w:lang w:eastAsia="es-CO"/>
                    </w:rPr>
                    <w:t>No. Personas</w:t>
                  </w:r>
                </w:p>
              </w:tc>
            </w:tr>
            <w:tr w:rsidR="007D5F9E" w:rsidRPr="007E07C5" w14:paraId="46A871FB"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754068F"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Antioquia</w:t>
                  </w:r>
                </w:p>
              </w:tc>
              <w:tc>
                <w:tcPr>
                  <w:tcW w:w="3040" w:type="dxa"/>
                  <w:tcBorders>
                    <w:top w:val="nil"/>
                    <w:left w:val="nil"/>
                    <w:bottom w:val="single" w:sz="4" w:space="0" w:color="auto"/>
                    <w:right w:val="single" w:sz="8" w:space="0" w:color="auto"/>
                  </w:tcBorders>
                  <w:shd w:val="clear" w:color="auto" w:fill="auto"/>
                  <w:noWrap/>
                  <w:vAlign w:val="center"/>
                  <w:hideMark/>
                </w:tcPr>
                <w:p w14:paraId="6D8C9E7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19</w:t>
                  </w:r>
                </w:p>
              </w:tc>
            </w:tr>
            <w:tr w:rsidR="007D5F9E" w:rsidRPr="007E07C5" w14:paraId="25AC9A46"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472984EC"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Caquetá</w:t>
                  </w:r>
                </w:p>
              </w:tc>
              <w:tc>
                <w:tcPr>
                  <w:tcW w:w="3040" w:type="dxa"/>
                  <w:tcBorders>
                    <w:top w:val="nil"/>
                    <w:left w:val="nil"/>
                    <w:bottom w:val="single" w:sz="4" w:space="0" w:color="auto"/>
                    <w:right w:val="single" w:sz="8" w:space="0" w:color="auto"/>
                  </w:tcBorders>
                  <w:shd w:val="clear" w:color="auto" w:fill="auto"/>
                  <w:noWrap/>
                  <w:vAlign w:val="center"/>
                  <w:hideMark/>
                </w:tcPr>
                <w:p w14:paraId="1EDD2A4D"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17</w:t>
                  </w:r>
                </w:p>
              </w:tc>
            </w:tr>
            <w:tr w:rsidR="007D5F9E" w:rsidRPr="007E07C5" w14:paraId="629EB96F"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69A74226"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Meta</w:t>
                  </w:r>
                </w:p>
              </w:tc>
              <w:tc>
                <w:tcPr>
                  <w:tcW w:w="3040" w:type="dxa"/>
                  <w:tcBorders>
                    <w:top w:val="nil"/>
                    <w:left w:val="nil"/>
                    <w:bottom w:val="single" w:sz="4" w:space="0" w:color="auto"/>
                    <w:right w:val="single" w:sz="8" w:space="0" w:color="auto"/>
                  </w:tcBorders>
                  <w:shd w:val="clear" w:color="auto" w:fill="auto"/>
                  <w:noWrap/>
                  <w:vAlign w:val="center"/>
                  <w:hideMark/>
                </w:tcPr>
                <w:p w14:paraId="50A19A06"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9</w:t>
                  </w:r>
                </w:p>
              </w:tc>
            </w:tr>
            <w:tr w:rsidR="007D5F9E" w:rsidRPr="007E07C5" w14:paraId="7AFCA1C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E3CCEAE"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Cauca</w:t>
                  </w:r>
                </w:p>
              </w:tc>
              <w:tc>
                <w:tcPr>
                  <w:tcW w:w="3040" w:type="dxa"/>
                  <w:tcBorders>
                    <w:top w:val="nil"/>
                    <w:left w:val="nil"/>
                    <w:bottom w:val="single" w:sz="4" w:space="0" w:color="auto"/>
                    <w:right w:val="single" w:sz="8" w:space="0" w:color="auto"/>
                  </w:tcBorders>
                  <w:shd w:val="clear" w:color="auto" w:fill="auto"/>
                  <w:noWrap/>
                  <w:vAlign w:val="center"/>
                  <w:hideMark/>
                </w:tcPr>
                <w:p w14:paraId="7DD1F6F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8</w:t>
                  </w:r>
                </w:p>
              </w:tc>
            </w:tr>
            <w:tr w:rsidR="007D5F9E" w:rsidRPr="007E07C5" w14:paraId="3DDF13C9"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48D6F163"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Valle del Cauca</w:t>
                  </w:r>
                </w:p>
              </w:tc>
              <w:tc>
                <w:tcPr>
                  <w:tcW w:w="3040" w:type="dxa"/>
                  <w:tcBorders>
                    <w:top w:val="nil"/>
                    <w:left w:val="nil"/>
                    <w:bottom w:val="single" w:sz="4" w:space="0" w:color="auto"/>
                    <w:right w:val="single" w:sz="8" w:space="0" w:color="auto"/>
                  </w:tcBorders>
                  <w:shd w:val="clear" w:color="auto" w:fill="auto"/>
                  <w:noWrap/>
                  <w:vAlign w:val="center"/>
                  <w:hideMark/>
                </w:tcPr>
                <w:p w14:paraId="78F72F50"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7</w:t>
                  </w:r>
                </w:p>
              </w:tc>
            </w:tr>
            <w:tr w:rsidR="007D5F9E" w:rsidRPr="007E07C5" w14:paraId="5FD93A3D"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3206EC73"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Huila</w:t>
                  </w:r>
                </w:p>
              </w:tc>
              <w:tc>
                <w:tcPr>
                  <w:tcW w:w="3040" w:type="dxa"/>
                  <w:tcBorders>
                    <w:top w:val="nil"/>
                    <w:left w:val="nil"/>
                    <w:bottom w:val="single" w:sz="4" w:space="0" w:color="auto"/>
                    <w:right w:val="single" w:sz="8" w:space="0" w:color="auto"/>
                  </w:tcBorders>
                  <w:shd w:val="clear" w:color="auto" w:fill="auto"/>
                  <w:noWrap/>
                  <w:vAlign w:val="center"/>
                  <w:hideMark/>
                </w:tcPr>
                <w:p w14:paraId="4EA9B6DE"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7</w:t>
                  </w:r>
                </w:p>
              </w:tc>
            </w:tr>
            <w:tr w:rsidR="007D5F9E" w:rsidRPr="007E07C5" w14:paraId="40C2ABF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2B9C1CF7"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lastRenderedPageBreak/>
                    <w:t>Putumayo</w:t>
                  </w:r>
                </w:p>
              </w:tc>
              <w:tc>
                <w:tcPr>
                  <w:tcW w:w="3040" w:type="dxa"/>
                  <w:tcBorders>
                    <w:top w:val="nil"/>
                    <w:left w:val="nil"/>
                    <w:bottom w:val="single" w:sz="4" w:space="0" w:color="auto"/>
                    <w:right w:val="single" w:sz="8" w:space="0" w:color="auto"/>
                  </w:tcBorders>
                  <w:shd w:val="clear" w:color="auto" w:fill="auto"/>
                  <w:noWrap/>
                  <w:vAlign w:val="center"/>
                  <w:hideMark/>
                </w:tcPr>
                <w:p w14:paraId="1F0FEB4D"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5</w:t>
                  </w:r>
                </w:p>
              </w:tc>
            </w:tr>
            <w:tr w:rsidR="007D5F9E" w:rsidRPr="007E07C5" w14:paraId="25B1FBD2"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74BBEAF"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Arauca</w:t>
                  </w:r>
                </w:p>
              </w:tc>
              <w:tc>
                <w:tcPr>
                  <w:tcW w:w="3040" w:type="dxa"/>
                  <w:tcBorders>
                    <w:top w:val="nil"/>
                    <w:left w:val="nil"/>
                    <w:bottom w:val="single" w:sz="4" w:space="0" w:color="auto"/>
                    <w:right w:val="single" w:sz="8" w:space="0" w:color="auto"/>
                  </w:tcBorders>
                  <w:shd w:val="clear" w:color="auto" w:fill="auto"/>
                  <w:noWrap/>
                  <w:vAlign w:val="center"/>
                  <w:hideMark/>
                </w:tcPr>
                <w:p w14:paraId="7FDEE988"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5</w:t>
                  </w:r>
                </w:p>
              </w:tc>
            </w:tr>
            <w:tr w:rsidR="007D5F9E" w:rsidRPr="007E07C5" w14:paraId="7DBE8956"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3816730B"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Norte de Santander</w:t>
                  </w:r>
                </w:p>
              </w:tc>
              <w:tc>
                <w:tcPr>
                  <w:tcW w:w="3040" w:type="dxa"/>
                  <w:tcBorders>
                    <w:top w:val="nil"/>
                    <w:left w:val="nil"/>
                    <w:bottom w:val="single" w:sz="4" w:space="0" w:color="auto"/>
                    <w:right w:val="single" w:sz="8" w:space="0" w:color="auto"/>
                  </w:tcBorders>
                  <w:shd w:val="clear" w:color="auto" w:fill="auto"/>
                  <w:noWrap/>
                  <w:vAlign w:val="center"/>
                  <w:hideMark/>
                </w:tcPr>
                <w:p w14:paraId="504838F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4B5A9A2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1A7A321"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Nariño</w:t>
                  </w:r>
                </w:p>
              </w:tc>
              <w:tc>
                <w:tcPr>
                  <w:tcW w:w="3040" w:type="dxa"/>
                  <w:tcBorders>
                    <w:top w:val="nil"/>
                    <w:left w:val="nil"/>
                    <w:bottom w:val="single" w:sz="4" w:space="0" w:color="auto"/>
                    <w:right w:val="single" w:sz="8" w:space="0" w:color="auto"/>
                  </w:tcBorders>
                  <w:shd w:val="clear" w:color="auto" w:fill="auto"/>
                  <w:noWrap/>
                  <w:vAlign w:val="center"/>
                  <w:hideMark/>
                </w:tcPr>
                <w:p w14:paraId="6729D844"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30661030"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6DD8576E"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Córdoba</w:t>
                  </w:r>
                </w:p>
              </w:tc>
              <w:tc>
                <w:tcPr>
                  <w:tcW w:w="3040" w:type="dxa"/>
                  <w:tcBorders>
                    <w:top w:val="nil"/>
                    <w:left w:val="nil"/>
                    <w:bottom w:val="single" w:sz="4" w:space="0" w:color="auto"/>
                    <w:right w:val="single" w:sz="8" w:space="0" w:color="auto"/>
                  </w:tcBorders>
                  <w:shd w:val="clear" w:color="auto" w:fill="auto"/>
                  <w:noWrap/>
                  <w:vAlign w:val="center"/>
                  <w:hideMark/>
                </w:tcPr>
                <w:p w14:paraId="1F9EF692"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1A7A287A"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5687D069"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Guaviare</w:t>
                  </w:r>
                </w:p>
              </w:tc>
              <w:tc>
                <w:tcPr>
                  <w:tcW w:w="3040" w:type="dxa"/>
                  <w:tcBorders>
                    <w:top w:val="nil"/>
                    <w:left w:val="nil"/>
                    <w:bottom w:val="single" w:sz="4" w:space="0" w:color="auto"/>
                    <w:right w:val="single" w:sz="8" w:space="0" w:color="auto"/>
                  </w:tcBorders>
                  <w:shd w:val="clear" w:color="auto" w:fill="auto"/>
                  <w:noWrap/>
                  <w:vAlign w:val="center"/>
                  <w:hideMark/>
                </w:tcPr>
                <w:p w14:paraId="33533738"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4</w:t>
                  </w:r>
                </w:p>
              </w:tc>
            </w:tr>
            <w:tr w:rsidR="007D5F9E" w:rsidRPr="007E07C5" w14:paraId="4D80344D"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5B6F8E96"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Bogotá D.C.</w:t>
                  </w:r>
                </w:p>
              </w:tc>
              <w:tc>
                <w:tcPr>
                  <w:tcW w:w="3040" w:type="dxa"/>
                  <w:tcBorders>
                    <w:top w:val="nil"/>
                    <w:left w:val="nil"/>
                    <w:bottom w:val="single" w:sz="4" w:space="0" w:color="auto"/>
                    <w:right w:val="single" w:sz="8" w:space="0" w:color="auto"/>
                  </w:tcBorders>
                  <w:shd w:val="clear" w:color="auto" w:fill="auto"/>
                  <w:noWrap/>
                  <w:vAlign w:val="center"/>
                  <w:hideMark/>
                </w:tcPr>
                <w:p w14:paraId="61BDE828"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3</w:t>
                  </w:r>
                </w:p>
              </w:tc>
            </w:tr>
            <w:tr w:rsidR="007D5F9E" w:rsidRPr="007E07C5" w14:paraId="02906B6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4A634BC8"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Chocó</w:t>
                  </w:r>
                </w:p>
              </w:tc>
              <w:tc>
                <w:tcPr>
                  <w:tcW w:w="3040" w:type="dxa"/>
                  <w:tcBorders>
                    <w:top w:val="nil"/>
                    <w:left w:val="nil"/>
                    <w:bottom w:val="single" w:sz="4" w:space="0" w:color="auto"/>
                    <w:right w:val="single" w:sz="8" w:space="0" w:color="auto"/>
                  </w:tcBorders>
                  <w:shd w:val="clear" w:color="auto" w:fill="auto"/>
                  <w:noWrap/>
                  <w:vAlign w:val="center"/>
                  <w:hideMark/>
                </w:tcPr>
                <w:p w14:paraId="5E5F2161"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2</w:t>
                  </w:r>
                </w:p>
              </w:tc>
            </w:tr>
            <w:tr w:rsidR="007D5F9E" w:rsidRPr="007E07C5" w14:paraId="408E21B0"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974BD68"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Bolívar</w:t>
                  </w:r>
                </w:p>
              </w:tc>
              <w:tc>
                <w:tcPr>
                  <w:tcW w:w="3040" w:type="dxa"/>
                  <w:tcBorders>
                    <w:top w:val="nil"/>
                    <w:left w:val="nil"/>
                    <w:bottom w:val="single" w:sz="4" w:space="0" w:color="auto"/>
                    <w:right w:val="single" w:sz="8" w:space="0" w:color="auto"/>
                  </w:tcBorders>
                  <w:shd w:val="clear" w:color="auto" w:fill="auto"/>
                  <w:noWrap/>
                  <w:vAlign w:val="center"/>
                  <w:hideMark/>
                </w:tcPr>
                <w:p w14:paraId="0E933613"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2</w:t>
                  </w:r>
                </w:p>
              </w:tc>
            </w:tr>
            <w:tr w:rsidR="007D5F9E" w:rsidRPr="007E07C5" w14:paraId="256E7FFA"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27AF2BEA"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Cundinamarca</w:t>
                  </w:r>
                </w:p>
              </w:tc>
              <w:tc>
                <w:tcPr>
                  <w:tcW w:w="3040" w:type="dxa"/>
                  <w:tcBorders>
                    <w:top w:val="nil"/>
                    <w:left w:val="nil"/>
                    <w:bottom w:val="single" w:sz="4" w:space="0" w:color="auto"/>
                    <w:right w:val="single" w:sz="8" w:space="0" w:color="auto"/>
                  </w:tcBorders>
                  <w:shd w:val="clear" w:color="auto" w:fill="auto"/>
                  <w:noWrap/>
                  <w:vAlign w:val="center"/>
                  <w:hideMark/>
                </w:tcPr>
                <w:p w14:paraId="063474B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2</w:t>
                  </w:r>
                </w:p>
              </w:tc>
            </w:tr>
            <w:tr w:rsidR="007D5F9E" w:rsidRPr="007E07C5" w14:paraId="0721E9CE"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B305817"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Atlántico</w:t>
                  </w:r>
                </w:p>
              </w:tc>
              <w:tc>
                <w:tcPr>
                  <w:tcW w:w="3040" w:type="dxa"/>
                  <w:tcBorders>
                    <w:top w:val="nil"/>
                    <w:left w:val="nil"/>
                    <w:bottom w:val="single" w:sz="4" w:space="0" w:color="auto"/>
                    <w:right w:val="single" w:sz="8" w:space="0" w:color="auto"/>
                  </w:tcBorders>
                  <w:shd w:val="clear" w:color="auto" w:fill="auto"/>
                  <w:noWrap/>
                  <w:vAlign w:val="center"/>
                  <w:hideMark/>
                </w:tcPr>
                <w:p w14:paraId="28B01BA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1104F6E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3B133B49"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Quindío</w:t>
                  </w:r>
                </w:p>
              </w:tc>
              <w:tc>
                <w:tcPr>
                  <w:tcW w:w="3040" w:type="dxa"/>
                  <w:tcBorders>
                    <w:top w:val="nil"/>
                    <w:left w:val="nil"/>
                    <w:bottom w:val="single" w:sz="4" w:space="0" w:color="auto"/>
                    <w:right w:val="single" w:sz="8" w:space="0" w:color="auto"/>
                  </w:tcBorders>
                  <w:shd w:val="clear" w:color="auto" w:fill="auto"/>
                  <w:noWrap/>
                  <w:vAlign w:val="center"/>
                  <w:hideMark/>
                </w:tcPr>
                <w:p w14:paraId="6BD622E1"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6CDD97E3"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6806B10"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Tolima</w:t>
                  </w:r>
                </w:p>
              </w:tc>
              <w:tc>
                <w:tcPr>
                  <w:tcW w:w="3040" w:type="dxa"/>
                  <w:tcBorders>
                    <w:top w:val="nil"/>
                    <w:left w:val="nil"/>
                    <w:bottom w:val="single" w:sz="4" w:space="0" w:color="auto"/>
                    <w:right w:val="single" w:sz="8" w:space="0" w:color="auto"/>
                  </w:tcBorders>
                  <w:shd w:val="clear" w:color="auto" w:fill="auto"/>
                  <w:noWrap/>
                  <w:vAlign w:val="center"/>
                  <w:hideMark/>
                </w:tcPr>
                <w:p w14:paraId="0797FD50"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52A426D5"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0C18D7A7"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La Guajira</w:t>
                  </w:r>
                </w:p>
              </w:tc>
              <w:tc>
                <w:tcPr>
                  <w:tcW w:w="3040" w:type="dxa"/>
                  <w:tcBorders>
                    <w:top w:val="nil"/>
                    <w:left w:val="nil"/>
                    <w:bottom w:val="single" w:sz="4" w:space="0" w:color="auto"/>
                    <w:right w:val="single" w:sz="8" w:space="0" w:color="auto"/>
                  </w:tcBorders>
                  <w:shd w:val="clear" w:color="auto" w:fill="auto"/>
                  <w:noWrap/>
                  <w:vAlign w:val="center"/>
                  <w:hideMark/>
                </w:tcPr>
                <w:p w14:paraId="3015E2A2"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0320A354"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E72AC3E"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Cesar</w:t>
                  </w:r>
                </w:p>
              </w:tc>
              <w:tc>
                <w:tcPr>
                  <w:tcW w:w="3040" w:type="dxa"/>
                  <w:tcBorders>
                    <w:top w:val="nil"/>
                    <w:left w:val="nil"/>
                    <w:bottom w:val="single" w:sz="4" w:space="0" w:color="auto"/>
                    <w:right w:val="single" w:sz="8" w:space="0" w:color="auto"/>
                  </w:tcBorders>
                  <w:shd w:val="clear" w:color="auto" w:fill="auto"/>
                  <w:noWrap/>
                  <w:vAlign w:val="center"/>
                  <w:hideMark/>
                </w:tcPr>
                <w:p w14:paraId="1046B1D3"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4F06C19A"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6267F6C"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Caldas</w:t>
                  </w:r>
                </w:p>
              </w:tc>
              <w:tc>
                <w:tcPr>
                  <w:tcW w:w="3040" w:type="dxa"/>
                  <w:tcBorders>
                    <w:top w:val="nil"/>
                    <w:left w:val="nil"/>
                    <w:bottom w:val="single" w:sz="4" w:space="0" w:color="auto"/>
                    <w:right w:val="single" w:sz="8" w:space="0" w:color="auto"/>
                  </w:tcBorders>
                  <w:shd w:val="clear" w:color="auto" w:fill="auto"/>
                  <w:noWrap/>
                  <w:vAlign w:val="center"/>
                  <w:hideMark/>
                </w:tcPr>
                <w:p w14:paraId="5DF304A9"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5480995E" w14:textId="77777777" w:rsidTr="007D5F9E">
              <w:trPr>
                <w:trHeight w:val="300"/>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513E1499"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Vichada</w:t>
                  </w:r>
                </w:p>
              </w:tc>
              <w:tc>
                <w:tcPr>
                  <w:tcW w:w="3040" w:type="dxa"/>
                  <w:tcBorders>
                    <w:top w:val="nil"/>
                    <w:left w:val="nil"/>
                    <w:bottom w:val="single" w:sz="4" w:space="0" w:color="auto"/>
                    <w:right w:val="single" w:sz="8" w:space="0" w:color="auto"/>
                  </w:tcBorders>
                  <w:shd w:val="clear" w:color="auto" w:fill="auto"/>
                  <w:noWrap/>
                  <w:vAlign w:val="center"/>
                  <w:hideMark/>
                </w:tcPr>
                <w:p w14:paraId="55A921C0"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0DA9C9D5" w14:textId="77777777" w:rsidTr="007D5F9E">
              <w:trPr>
                <w:trHeight w:val="315"/>
                <w:jc w:val="center"/>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64888416" w14:textId="77777777" w:rsidR="007D5F9E" w:rsidRPr="007E07C5" w:rsidRDefault="007D5F9E" w:rsidP="007D5F9E">
                  <w:pPr>
                    <w:spacing w:after="0" w:line="240" w:lineRule="auto"/>
                    <w:rPr>
                      <w:rFonts w:eastAsia="Times New Roman"/>
                      <w:color w:val="000000"/>
                      <w:lang w:eastAsia="es-CO"/>
                    </w:rPr>
                  </w:pPr>
                  <w:r w:rsidRPr="007E07C5">
                    <w:rPr>
                      <w:rFonts w:eastAsia="Times New Roman"/>
                      <w:color w:val="000000"/>
                      <w:lang w:eastAsia="es-CO"/>
                    </w:rPr>
                    <w:t>Cuba</w:t>
                  </w:r>
                </w:p>
              </w:tc>
              <w:tc>
                <w:tcPr>
                  <w:tcW w:w="3040" w:type="dxa"/>
                  <w:tcBorders>
                    <w:top w:val="nil"/>
                    <w:left w:val="nil"/>
                    <w:bottom w:val="single" w:sz="4" w:space="0" w:color="auto"/>
                    <w:right w:val="single" w:sz="8" w:space="0" w:color="auto"/>
                  </w:tcBorders>
                  <w:shd w:val="clear" w:color="auto" w:fill="auto"/>
                  <w:noWrap/>
                  <w:vAlign w:val="center"/>
                  <w:hideMark/>
                </w:tcPr>
                <w:p w14:paraId="64403122" w14:textId="77777777" w:rsidR="007D5F9E" w:rsidRPr="007E07C5" w:rsidRDefault="007D5F9E" w:rsidP="007D5F9E">
                  <w:pPr>
                    <w:spacing w:after="0" w:line="240" w:lineRule="auto"/>
                    <w:jc w:val="center"/>
                    <w:rPr>
                      <w:rFonts w:eastAsia="Times New Roman"/>
                      <w:color w:val="000000"/>
                      <w:lang w:eastAsia="es-CO"/>
                    </w:rPr>
                  </w:pPr>
                  <w:r w:rsidRPr="007E07C5">
                    <w:rPr>
                      <w:rFonts w:eastAsia="Times New Roman"/>
                      <w:color w:val="000000"/>
                      <w:lang w:eastAsia="es-CO"/>
                    </w:rPr>
                    <w:t>1</w:t>
                  </w:r>
                </w:p>
              </w:tc>
            </w:tr>
            <w:tr w:rsidR="007D5F9E" w:rsidRPr="007E07C5" w14:paraId="6D93BC59" w14:textId="77777777" w:rsidTr="007D5F9E">
              <w:trPr>
                <w:trHeight w:val="315"/>
                <w:jc w:val="center"/>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0BA1C" w14:textId="77777777" w:rsidR="007D5F9E" w:rsidRPr="007E07C5" w:rsidRDefault="007D5F9E" w:rsidP="007D5F9E">
                  <w:pPr>
                    <w:spacing w:after="0" w:line="240" w:lineRule="auto"/>
                    <w:rPr>
                      <w:rFonts w:eastAsia="Times New Roman"/>
                      <w:color w:val="000000"/>
                      <w:lang w:eastAsia="es-CO"/>
                    </w:rPr>
                  </w:pPr>
                  <w:r>
                    <w:rPr>
                      <w:rFonts w:eastAsia="Times New Roman"/>
                      <w:color w:val="000000"/>
                      <w:lang w:eastAsia="es-CO"/>
                    </w:rPr>
                    <w:t>TOTAL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93D3" w14:textId="77777777" w:rsidR="007D5F9E" w:rsidRPr="007E07C5" w:rsidRDefault="007D5F9E" w:rsidP="007D5F9E">
                  <w:pPr>
                    <w:spacing w:after="0" w:line="240" w:lineRule="auto"/>
                    <w:jc w:val="center"/>
                    <w:rPr>
                      <w:rFonts w:eastAsia="Times New Roman"/>
                      <w:color w:val="000000"/>
                      <w:lang w:eastAsia="es-CO"/>
                    </w:rPr>
                  </w:pPr>
                  <w:r>
                    <w:rPr>
                      <w:rFonts w:eastAsia="Times New Roman"/>
                      <w:color w:val="000000"/>
                      <w:lang w:eastAsia="es-CO"/>
                    </w:rPr>
                    <w:t>110</w:t>
                  </w:r>
                </w:p>
              </w:tc>
            </w:tr>
          </w:tbl>
          <w:p w14:paraId="57AD9319" w14:textId="77777777" w:rsidR="007D5F9E" w:rsidRPr="00377266" w:rsidRDefault="007D5F9E" w:rsidP="007D5F9E">
            <w:pPr>
              <w:pStyle w:val="Prrafodelista"/>
              <w:ind w:left="21"/>
              <w:rPr>
                <w:rFonts w:cstheme="minorHAnsi"/>
              </w:rPr>
            </w:pPr>
          </w:p>
          <w:p w14:paraId="5D555065" w14:textId="7F77ABAA" w:rsidR="007D5F9E" w:rsidRPr="00AF1012" w:rsidRDefault="007D5F9E" w:rsidP="009D507C">
            <w:pPr>
              <w:pStyle w:val="Prrafodelista"/>
              <w:numPr>
                <w:ilvl w:val="0"/>
                <w:numId w:val="24"/>
              </w:numPr>
              <w:jc w:val="both"/>
              <w:rPr>
                <w:rFonts w:cstheme="minorHAnsi"/>
              </w:rPr>
            </w:pPr>
            <w:r w:rsidRPr="00AF1012">
              <w:rPr>
                <w:rFonts w:cstheme="minorHAnsi"/>
                <w:b/>
              </w:rPr>
              <w:t>Estrategia de Reincorporación Comunitaria</w:t>
            </w:r>
            <w:r w:rsidR="00AF1012" w:rsidRPr="00AF1012">
              <w:rPr>
                <w:rFonts w:cstheme="minorHAnsi"/>
                <w:b/>
              </w:rPr>
              <w:t>:</w:t>
            </w:r>
            <w:r w:rsidR="00AF1012">
              <w:rPr>
                <w:rFonts w:cstheme="minorHAnsi"/>
                <w:b/>
              </w:rPr>
              <w:t xml:space="preserve"> </w:t>
            </w:r>
            <w:r w:rsidRPr="00AF1012">
              <w:rPr>
                <w:rFonts w:cstheme="minorHAnsi"/>
              </w:rPr>
              <w:t>Se implementó en 35 municipios priorizados: Ituango, Apartadó, Dabeiba, Mutatá, Remedios, Yondó, Medellín, Fortul, Carmen de Bolívar, La Montañita, Puerto Rico, Cartagena del Chairá, Santander de Quilichao, Popayán, Manaure, Carmen del Darién, San José del Guaviare, Mesetas, La Macarena, Puerto Rico, Uribe, Villavicencio, San Andrés de Tumaco, Ricaurte, Teorama, San Calixto, Cúcuta, Tibú, Puerto Asís, Pueblo Rico, Ovejas, Chaparral, Bogotá, Soacha, Cali.</w:t>
            </w:r>
          </w:p>
          <w:p w14:paraId="2CFA21BD" w14:textId="77777777" w:rsidR="007D5F9E" w:rsidRPr="00A7171B" w:rsidRDefault="007D5F9E" w:rsidP="007D5F9E">
            <w:pPr>
              <w:pStyle w:val="Prrafodelista"/>
              <w:rPr>
                <w:i/>
                <w:sz w:val="24"/>
                <w:szCs w:val="24"/>
              </w:rPr>
            </w:pPr>
          </w:p>
          <w:p w14:paraId="6BBDA53D" w14:textId="673587FB" w:rsidR="00623C90" w:rsidRDefault="007D5F9E" w:rsidP="00AF1012">
            <w:pPr>
              <w:pStyle w:val="Prrafodelista"/>
              <w:numPr>
                <w:ilvl w:val="0"/>
                <w:numId w:val="24"/>
              </w:numPr>
              <w:rPr>
                <w:sz w:val="24"/>
                <w:szCs w:val="24"/>
              </w:rPr>
            </w:pPr>
            <w:r w:rsidRPr="00182D34">
              <w:rPr>
                <w:rFonts w:cstheme="minorHAnsi"/>
                <w:b/>
              </w:rPr>
              <w:t>Programa Especial de Armonización para la Reintegración y Reincorporación Social y Económica con Enfoque Diferencial Étnico y de Género</w:t>
            </w:r>
            <w:r w:rsidR="00AF1012">
              <w:rPr>
                <w:rFonts w:cstheme="minorHAnsi"/>
                <w:b/>
              </w:rPr>
              <w:t xml:space="preserve">: </w:t>
            </w:r>
            <w:r>
              <w:rPr>
                <w:rFonts w:cstheme="minorHAnsi"/>
              </w:rPr>
              <w:t xml:space="preserve">Los territorios donde se desarrolló el programa especial de armonización, se encuentran descrito en la acción 5, que corresponde a Acciones con pueblos indígenas. </w:t>
            </w:r>
            <w:r w:rsidRPr="007F2317">
              <w:rPr>
                <w:rFonts w:cstheme="minorHAnsi"/>
              </w:rPr>
              <w:t xml:space="preserve"> </w:t>
            </w:r>
          </w:p>
        </w:tc>
      </w:tr>
      <w:tr w:rsidR="00623C90" w14:paraId="04C0ADB6" w14:textId="77777777" w:rsidTr="00921510">
        <w:tc>
          <w:tcPr>
            <w:tcW w:w="1726" w:type="dxa"/>
            <w:tcBorders>
              <w:top w:val="single" w:sz="4" w:space="0" w:color="0070C0"/>
              <w:left w:val="single" w:sz="4" w:space="0" w:color="0070C0"/>
              <w:bottom w:val="single" w:sz="4" w:space="0" w:color="0070C0"/>
              <w:right w:val="nil"/>
            </w:tcBorders>
            <w:shd w:val="clear" w:color="auto" w:fill="auto"/>
            <w:vAlign w:val="center"/>
            <w:hideMark/>
          </w:tcPr>
          <w:p w14:paraId="6F77D680" w14:textId="5F62078B" w:rsidR="00623C90" w:rsidRPr="00921510" w:rsidRDefault="00623C90">
            <w:pPr>
              <w:jc w:val="center"/>
            </w:pPr>
            <w:r w:rsidRPr="00921510">
              <w:rPr>
                <w:noProof/>
                <w:color w:val="3366CC"/>
                <w:lang w:eastAsia="es-CO"/>
              </w:rPr>
              <w:lastRenderedPageBreak/>
              <w:drawing>
                <wp:inline distT="0" distB="0" distL="0" distR="0" wp14:anchorId="0EC22035" wp14:editId="2472B3A2">
                  <wp:extent cx="962025" cy="857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shd w:val="clear" w:color="auto" w:fill="auto"/>
          </w:tcPr>
          <w:p w14:paraId="636CDED7" w14:textId="4A8E439B" w:rsidR="00623C90" w:rsidRDefault="00623C90">
            <w:pPr>
              <w:jc w:val="both"/>
              <w:rPr>
                <w:color w:val="002060"/>
                <w:sz w:val="28"/>
                <w:szCs w:val="28"/>
              </w:rPr>
            </w:pPr>
            <w:r w:rsidRPr="00EC6955">
              <w:rPr>
                <w:color w:val="002060"/>
                <w:sz w:val="28"/>
                <w:szCs w:val="28"/>
              </w:rPr>
              <w:t>¿Qué desafíos y retos tuvimos para el cumplimiento?</w:t>
            </w:r>
          </w:p>
          <w:p w14:paraId="4EC46D8B" w14:textId="77777777" w:rsidR="00F10E86" w:rsidRPr="00EC6955" w:rsidRDefault="00F10E86">
            <w:pPr>
              <w:jc w:val="both"/>
              <w:rPr>
                <w:color w:val="002060"/>
                <w:sz w:val="28"/>
                <w:szCs w:val="28"/>
              </w:rPr>
            </w:pPr>
          </w:p>
          <w:p w14:paraId="3607A053" w14:textId="60AB5E56" w:rsidR="0022546B" w:rsidRDefault="0022546B" w:rsidP="00631DF4">
            <w:pPr>
              <w:pStyle w:val="Prrafodelista"/>
              <w:numPr>
                <w:ilvl w:val="0"/>
                <w:numId w:val="43"/>
              </w:numPr>
              <w:rPr>
                <w:rFonts w:cstheme="minorHAnsi"/>
                <w:b/>
                <w:iCs/>
                <w:u w:val="single"/>
              </w:rPr>
            </w:pPr>
            <w:r w:rsidRPr="00EC6955">
              <w:rPr>
                <w:rFonts w:cstheme="minorHAnsi"/>
                <w:b/>
                <w:iCs/>
                <w:u w:val="single"/>
              </w:rPr>
              <w:t>Proyectos productivos individuales o colectivo viabilizados con apoyo económico entregado.</w:t>
            </w:r>
          </w:p>
          <w:p w14:paraId="294EF836" w14:textId="77777777" w:rsidR="00F10E86" w:rsidRPr="00EC6955" w:rsidRDefault="00F10E86" w:rsidP="00F10E86">
            <w:pPr>
              <w:pStyle w:val="Prrafodelista"/>
              <w:ind w:left="318"/>
              <w:rPr>
                <w:rFonts w:cstheme="minorHAnsi"/>
                <w:b/>
                <w:iCs/>
                <w:u w:val="single"/>
              </w:rPr>
            </w:pPr>
          </w:p>
          <w:p w14:paraId="343BC8DE" w14:textId="7DCA27F1" w:rsidR="00C65083" w:rsidRPr="00EC6955" w:rsidRDefault="00C65083" w:rsidP="00E247CE">
            <w:pPr>
              <w:ind w:left="-42"/>
              <w:rPr>
                <w:rFonts w:cstheme="minorHAnsi"/>
              </w:rPr>
            </w:pPr>
            <w:r w:rsidRPr="00EC6955">
              <w:rPr>
                <w:rFonts w:cstheme="minorHAnsi"/>
              </w:rPr>
              <w:t>El principal desafío para</w:t>
            </w:r>
            <w:r w:rsidR="00411511" w:rsidRPr="00EC6955">
              <w:rPr>
                <w:rFonts w:cstheme="minorHAnsi"/>
              </w:rPr>
              <w:t xml:space="preserve"> el</w:t>
            </w:r>
            <w:r w:rsidRPr="00EC6955">
              <w:rPr>
                <w:rFonts w:cstheme="minorHAnsi"/>
              </w:rPr>
              <w:t xml:space="preserve"> cumplimiento </w:t>
            </w:r>
            <w:r w:rsidR="00411511" w:rsidRPr="00EC6955">
              <w:rPr>
                <w:rFonts w:cstheme="minorHAnsi"/>
              </w:rPr>
              <w:t>de</w:t>
            </w:r>
            <w:r w:rsidRPr="00EC6955">
              <w:rPr>
                <w:rFonts w:cstheme="minorHAnsi"/>
              </w:rPr>
              <w:t xml:space="preserve"> este indicador consiste en que siempre queda un remanente de proyectos viabilizados, que no alcanzan a desembolsarse dentro de la misma vigencia</w:t>
            </w:r>
            <w:r w:rsidR="00411511" w:rsidRPr="00EC6955">
              <w:rPr>
                <w:rFonts w:cstheme="minorHAnsi"/>
              </w:rPr>
              <w:t>. Lo anterior</w:t>
            </w:r>
            <w:r w:rsidRPr="00EC6955">
              <w:rPr>
                <w:rFonts w:cstheme="minorHAnsi"/>
              </w:rPr>
              <w:t>, debido al proceso que sur</w:t>
            </w:r>
            <w:r w:rsidR="00411511" w:rsidRPr="00EC6955">
              <w:rPr>
                <w:rFonts w:cstheme="minorHAnsi"/>
              </w:rPr>
              <w:t>t</w:t>
            </w:r>
            <w:r w:rsidRPr="00EC6955">
              <w:rPr>
                <w:rFonts w:cstheme="minorHAnsi"/>
              </w:rPr>
              <w:t>en los proyectos una vez radicados al Fondo Colombia en Paz</w:t>
            </w:r>
            <w:r w:rsidR="00411511" w:rsidRPr="00EC6955">
              <w:rPr>
                <w:rFonts w:cstheme="minorHAnsi"/>
              </w:rPr>
              <w:t>,</w:t>
            </w:r>
            <w:r w:rsidRPr="00EC6955">
              <w:rPr>
                <w:rFonts w:cstheme="minorHAnsi"/>
              </w:rPr>
              <w:t xml:space="preserve"> qui</w:t>
            </w:r>
            <w:r w:rsidR="00411511" w:rsidRPr="00EC6955">
              <w:rPr>
                <w:rFonts w:cstheme="minorHAnsi"/>
              </w:rPr>
              <w:t>é</w:t>
            </w:r>
            <w:r w:rsidRPr="00EC6955">
              <w:rPr>
                <w:rFonts w:cstheme="minorHAnsi"/>
              </w:rPr>
              <w:t>n</w:t>
            </w:r>
            <w:r w:rsidR="00411511" w:rsidRPr="00EC6955">
              <w:rPr>
                <w:rFonts w:cstheme="minorHAnsi"/>
              </w:rPr>
              <w:t>, con</w:t>
            </w:r>
            <w:r w:rsidRPr="00EC6955">
              <w:rPr>
                <w:rFonts w:cstheme="minorHAnsi"/>
              </w:rPr>
              <w:t xml:space="preserve"> previa autorización de la ARN</w:t>
            </w:r>
            <w:r w:rsidR="00411511" w:rsidRPr="00EC6955">
              <w:rPr>
                <w:rFonts w:cstheme="minorHAnsi"/>
              </w:rPr>
              <w:t>,</w:t>
            </w:r>
            <w:r w:rsidRPr="00EC6955">
              <w:rPr>
                <w:rFonts w:cstheme="minorHAnsi"/>
              </w:rPr>
              <w:t xml:space="preserve"> realiza el desembolso de los recursos a las </w:t>
            </w:r>
            <w:r w:rsidRPr="00EC6955">
              <w:rPr>
                <w:rFonts w:cstheme="minorHAnsi"/>
              </w:rPr>
              <w:lastRenderedPageBreak/>
              <w:t>formas asociativas beneficiarias en el caso de los proyectos productivos colectivos</w:t>
            </w:r>
            <w:r w:rsidR="00411511" w:rsidRPr="00EC6955">
              <w:rPr>
                <w:rFonts w:cstheme="minorHAnsi"/>
              </w:rPr>
              <w:t>;</w:t>
            </w:r>
            <w:r w:rsidRPr="00EC6955">
              <w:rPr>
                <w:rFonts w:cstheme="minorHAnsi"/>
              </w:rPr>
              <w:t xml:space="preserve"> y el desembolso de los recursos al proveedor o proveedores seleccionados por la persona en proceso de reincorporación beneficiaria para el caso de proyectos productivos individuales. Posteriormente el Fondo Colombia en Paz </w:t>
            </w:r>
            <w:r w:rsidR="00411511" w:rsidRPr="00EC6955">
              <w:rPr>
                <w:rFonts w:cstheme="minorHAnsi"/>
              </w:rPr>
              <w:t>notifica</w:t>
            </w:r>
            <w:r w:rsidRPr="00EC6955">
              <w:rPr>
                <w:rFonts w:cstheme="minorHAnsi"/>
              </w:rPr>
              <w:t xml:space="preserve"> a la ARN, quien continúa con el proceso de acompañamiento a la unidad productiva. </w:t>
            </w:r>
            <w:r w:rsidR="00411511" w:rsidRPr="00EC6955">
              <w:rPr>
                <w:rFonts w:cstheme="minorHAnsi"/>
              </w:rPr>
              <w:t>Estas e</w:t>
            </w:r>
            <w:r w:rsidRPr="00EC6955">
              <w:rPr>
                <w:rFonts w:cstheme="minorHAnsi"/>
              </w:rPr>
              <w:t xml:space="preserve">tapas suceden en 2 meses aproximadamente.  </w:t>
            </w:r>
          </w:p>
          <w:p w14:paraId="7CC91412" w14:textId="77777777" w:rsidR="00C65083" w:rsidRPr="00EC6955" w:rsidRDefault="00C65083" w:rsidP="00E247CE">
            <w:pPr>
              <w:ind w:left="-42"/>
              <w:rPr>
                <w:rFonts w:cstheme="minorHAnsi"/>
              </w:rPr>
            </w:pPr>
          </w:p>
          <w:p w14:paraId="59750E34" w14:textId="1B97C3AC" w:rsidR="00E247CE" w:rsidRPr="00EC6955" w:rsidRDefault="00C65083" w:rsidP="00E247CE">
            <w:pPr>
              <w:ind w:left="-42"/>
              <w:rPr>
                <w:rFonts w:cstheme="minorHAnsi"/>
              </w:rPr>
            </w:pPr>
            <w:r w:rsidRPr="00EC6955">
              <w:rPr>
                <w:rFonts w:cstheme="minorHAnsi"/>
              </w:rPr>
              <w:t>S</w:t>
            </w:r>
            <w:r w:rsidR="00E247CE" w:rsidRPr="00EC6955">
              <w:rPr>
                <w:rFonts w:cstheme="minorHAnsi"/>
              </w:rPr>
              <w:t xml:space="preserve">i bien la medición del indicador se concentra en los proyectos productivos viabilizados y, de ellos, los desembolsados, dentro de los reportes cualitativos de avance se hará mención también a la cantidad de proyectos productivos presentados, realizando un seguimiento integral al proceso que concurre el atributo de medición de este indicador, sin </w:t>
            </w:r>
            <w:r w:rsidRPr="00EC6955">
              <w:rPr>
                <w:rFonts w:cstheme="minorHAnsi"/>
              </w:rPr>
              <w:t>embargo,</w:t>
            </w:r>
            <w:r w:rsidR="00E247CE" w:rsidRPr="00EC6955">
              <w:rPr>
                <w:rFonts w:cstheme="minorHAnsi"/>
              </w:rPr>
              <w:t xml:space="preserve"> no hará parte de las variables de la fórmula del cálculo.</w:t>
            </w:r>
          </w:p>
          <w:p w14:paraId="283A64AB" w14:textId="77777777" w:rsidR="00C65083" w:rsidRPr="00EC6955" w:rsidRDefault="00C65083" w:rsidP="00E247CE">
            <w:pPr>
              <w:ind w:left="-42"/>
              <w:rPr>
                <w:rFonts w:cstheme="minorHAnsi"/>
              </w:rPr>
            </w:pPr>
          </w:p>
          <w:p w14:paraId="5F88803E" w14:textId="176138B6" w:rsidR="00411511" w:rsidRPr="00EC6955" w:rsidRDefault="00411511" w:rsidP="00E247CE">
            <w:pPr>
              <w:ind w:left="-42"/>
              <w:rPr>
                <w:rFonts w:cstheme="minorHAnsi"/>
              </w:rPr>
            </w:pPr>
            <w:r w:rsidRPr="00EC6955">
              <w:rPr>
                <w:rFonts w:cstheme="minorHAnsi"/>
              </w:rPr>
              <w:t>Además,</w:t>
            </w:r>
            <w:r w:rsidR="00C65083" w:rsidRPr="00EC6955">
              <w:rPr>
                <w:rFonts w:cstheme="minorHAnsi"/>
              </w:rPr>
              <w:t xml:space="preserve"> hay que tener en cuenta es que los proyectos productivos individuales pueden tener una o más personas que los integran y todos deben cumplir con los requisitos.</w:t>
            </w:r>
            <w:r w:rsidRPr="00EC6955">
              <w:rPr>
                <w:rFonts w:cstheme="minorHAnsi"/>
              </w:rPr>
              <w:t xml:space="preserve"> Y en el caso de los proyectos colectivos, tener en cuenta que</w:t>
            </w:r>
            <w:r w:rsidR="00C65083" w:rsidRPr="00EC6955">
              <w:rPr>
                <w:rFonts w:cstheme="minorHAnsi"/>
              </w:rPr>
              <w:t xml:space="preserve"> se pueden presentar desembolsos parciales</w:t>
            </w:r>
            <w:r w:rsidRPr="00EC6955">
              <w:rPr>
                <w:rFonts w:cstheme="minorHAnsi"/>
              </w:rPr>
              <w:t xml:space="preserve">, </w:t>
            </w:r>
            <w:r w:rsidR="00C65083" w:rsidRPr="00EC6955">
              <w:rPr>
                <w:rFonts w:cstheme="minorHAnsi"/>
              </w:rPr>
              <w:t>que afect</w:t>
            </w:r>
            <w:r w:rsidRPr="00EC6955">
              <w:rPr>
                <w:rFonts w:cstheme="minorHAnsi"/>
              </w:rPr>
              <w:t>a</w:t>
            </w:r>
            <w:r w:rsidR="00C65083" w:rsidRPr="00EC6955">
              <w:rPr>
                <w:rFonts w:cstheme="minorHAnsi"/>
              </w:rPr>
              <w:t xml:space="preserve">n el número de personas beneficiadas. </w:t>
            </w:r>
          </w:p>
          <w:p w14:paraId="04A5EFE6" w14:textId="77777777" w:rsidR="00411511" w:rsidRPr="00EC6955" w:rsidRDefault="00411511" w:rsidP="00E247CE">
            <w:pPr>
              <w:ind w:left="-42"/>
              <w:rPr>
                <w:rFonts w:cstheme="minorHAnsi"/>
              </w:rPr>
            </w:pPr>
          </w:p>
          <w:p w14:paraId="29434CC0" w14:textId="5EE95613" w:rsidR="00C65083" w:rsidRPr="00EC6955" w:rsidRDefault="00C65083" w:rsidP="00E247CE">
            <w:pPr>
              <w:ind w:left="-42"/>
              <w:rPr>
                <w:rFonts w:cstheme="minorHAnsi"/>
              </w:rPr>
            </w:pPr>
            <w:r w:rsidRPr="00EC6955">
              <w:rPr>
                <w:rFonts w:cstheme="minorHAnsi"/>
              </w:rPr>
              <w:t>Finalmente, se pueden presentar situaciones externas que exceden al control de la entidad que pueden afectar el comportamiento del indicador, entre ellas</w:t>
            </w:r>
            <w:r w:rsidR="00411511" w:rsidRPr="00EC6955">
              <w:rPr>
                <w:rFonts w:cstheme="minorHAnsi"/>
              </w:rPr>
              <w:t>,</w:t>
            </w:r>
            <w:r w:rsidRPr="00EC6955">
              <w:rPr>
                <w:rFonts w:cstheme="minorHAnsi"/>
              </w:rPr>
              <w:t xml:space="preserve"> el desistimiento del proyecto viabilizado y/o desembolsado, dificultades de seguridad y afectaciones derivadas de la emergencia sanitaria. Dicho desistimiento conduce a la devolución de los recursos inicialmente desembolsados, lo que puede implicar que las personas formulen un nuevo proyecto para viabilización/aprobación.</w:t>
            </w:r>
          </w:p>
          <w:p w14:paraId="2229BD61" w14:textId="77777777" w:rsidR="0022546B" w:rsidRPr="00EC6955" w:rsidRDefault="0022546B" w:rsidP="0022546B">
            <w:pPr>
              <w:jc w:val="both"/>
              <w:rPr>
                <w:rFonts w:cstheme="minorHAnsi"/>
                <w:bCs/>
              </w:rPr>
            </w:pPr>
          </w:p>
          <w:p w14:paraId="3652E737" w14:textId="77777777" w:rsidR="0022546B" w:rsidRPr="00EC6955" w:rsidRDefault="0022546B" w:rsidP="00631DF4">
            <w:pPr>
              <w:pStyle w:val="Prrafodelista"/>
              <w:numPr>
                <w:ilvl w:val="0"/>
                <w:numId w:val="43"/>
              </w:numPr>
              <w:jc w:val="both"/>
              <w:rPr>
                <w:rFonts w:cstheme="minorHAnsi"/>
                <w:b/>
              </w:rPr>
            </w:pPr>
            <w:r w:rsidRPr="00EC6955">
              <w:rPr>
                <w:rFonts w:cstheme="minorHAnsi"/>
                <w:b/>
                <w:u w:val="single"/>
              </w:rPr>
              <w:t>Planes y programas de reincorporación social y económica implementados,</w:t>
            </w:r>
            <w:r w:rsidRPr="00EC6955">
              <w:rPr>
                <w:rFonts w:cstheme="minorHAnsi"/>
                <w:b/>
              </w:rPr>
              <w:t xml:space="preserve"> </w:t>
            </w:r>
            <w:r w:rsidRPr="00EC6955">
              <w:rPr>
                <w:rFonts w:cstheme="minorHAnsi"/>
              </w:rPr>
              <w:t>hace referencia al Programa Camino Diferencial de Vida, la Estrategia de Reincorporación Comunitaria y programa Especial de Armonización para la Reintegración y Reincorporación Social y Económica con Enfoque Diferencial Étnico y de Género.</w:t>
            </w:r>
          </w:p>
          <w:p w14:paraId="257CEC91" w14:textId="77777777" w:rsidR="0022546B" w:rsidRPr="00EC6955" w:rsidRDefault="0022546B" w:rsidP="0022546B">
            <w:pPr>
              <w:jc w:val="both"/>
              <w:rPr>
                <w:rFonts w:cstheme="minorHAnsi"/>
                <w:bCs/>
              </w:rPr>
            </w:pPr>
          </w:p>
          <w:p w14:paraId="448C4A5F" w14:textId="0E7F6C32" w:rsidR="0022546B" w:rsidRPr="00EC6955" w:rsidRDefault="0022546B" w:rsidP="00631DF4">
            <w:pPr>
              <w:pStyle w:val="Prrafodelista"/>
              <w:numPr>
                <w:ilvl w:val="0"/>
                <w:numId w:val="44"/>
              </w:numPr>
              <w:autoSpaceDE w:val="0"/>
              <w:autoSpaceDN w:val="0"/>
              <w:jc w:val="both"/>
              <w:rPr>
                <w:rFonts w:cstheme="minorHAnsi"/>
              </w:rPr>
            </w:pPr>
            <w:r w:rsidRPr="00EC6955">
              <w:rPr>
                <w:rFonts w:cstheme="minorHAnsi"/>
                <w:b/>
              </w:rPr>
              <w:t>Programa camino diferencial de vida</w:t>
            </w:r>
            <w:r w:rsidRPr="00EC6955">
              <w:rPr>
                <w:rFonts w:cstheme="minorHAnsi"/>
                <w:b/>
                <w:i/>
              </w:rPr>
              <w:t>:</w:t>
            </w:r>
            <w:r w:rsidR="00F10E86">
              <w:rPr>
                <w:rFonts w:cstheme="minorHAnsi"/>
                <w:b/>
                <w:i/>
              </w:rPr>
              <w:t xml:space="preserve"> </w:t>
            </w:r>
            <w:r w:rsidR="007D6538" w:rsidRPr="00EC6955">
              <w:rPr>
                <w:rFonts w:cstheme="minorHAnsi"/>
              </w:rPr>
              <w:t>Durante el año 2021 se estableció como reto</w:t>
            </w:r>
            <w:r w:rsidR="00EC6955" w:rsidRPr="00EC6955">
              <w:rPr>
                <w:rFonts w:cstheme="minorHAnsi"/>
              </w:rPr>
              <w:t xml:space="preserve"> la ampliación de la atención a la totalidad de los 388 jóvenes que han sido certificados como menores de edad por la Oficina del Alto comisionado para la Paz donde se incluyen los 124 iniciales y los demás que fueron acreditados posteriormente.</w:t>
            </w:r>
          </w:p>
          <w:p w14:paraId="2941C24B" w14:textId="77777777" w:rsidR="0022546B" w:rsidRPr="00EC6955" w:rsidRDefault="0022546B" w:rsidP="0022546B">
            <w:pPr>
              <w:jc w:val="both"/>
              <w:rPr>
                <w:rFonts w:cstheme="minorHAnsi"/>
                <w:bCs/>
              </w:rPr>
            </w:pPr>
          </w:p>
          <w:p w14:paraId="5AC77B94" w14:textId="14D10F13" w:rsidR="0022546B" w:rsidRPr="00EC6955" w:rsidRDefault="0022546B" w:rsidP="00631DF4">
            <w:pPr>
              <w:pStyle w:val="Prrafodelista"/>
              <w:numPr>
                <w:ilvl w:val="0"/>
                <w:numId w:val="44"/>
              </w:numPr>
              <w:autoSpaceDE w:val="0"/>
              <w:autoSpaceDN w:val="0"/>
              <w:spacing w:after="120"/>
              <w:rPr>
                <w:rFonts w:cstheme="minorHAnsi"/>
              </w:rPr>
            </w:pPr>
            <w:r w:rsidRPr="00EC6955">
              <w:rPr>
                <w:rFonts w:cstheme="minorHAnsi"/>
                <w:b/>
              </w:rPr>
              <w:t>Estrategia de Reincorporación Comunitaria:</w:t>
            </w:r>
            <w:r w:rsidRPr="00EC6955">
              <w:rPr>
                <w:i/>
                <w:color w:val="70AD47" w:themeColor="accent6"/>
                <w:sz w:val="24"/>
                <w:szCs w:val="24"/>
              </w:rPr>
              <w:t xml:space="preserve"> </w:t>
            </w:r>
            <w:r w:rsidR="00EC6955" w:rsidRPr="00EC6955">
              <w:rPr>
                <w:sz w:val="24"/>
                <w:szCs w:val="24"/>
              </w:rPr>
              <w:t xml:space="preserve">Entre los retos evidenciados se encuentran la implementación de 65 iniciativas territoriales comunitarias a lo largo del territorio nacional, respondiendo a un criterio de priorización de municipios, partiendo de las necesidades e intereses </w:t>
            </w:r>
            <w:r w:rsidR="00EC6955" w:rsidRPr="00EC6955">
              <w:rPr>
                <w:sz w:val="24"/>
                <w:szCs w:val="24"/>
              </w:rPr>
              <w:lastRenderedPageBreak/>
              <w:t xml:space="preserve">identificadas en la población en proceso de reincorporación en adelantar este tipo de acciones. </w:t>
            </w:r>
          </w:p>
          <w:p w14:paraId="31DCCFC8" w14:textId="77777777" w:rsidR="0022546B" w:rsidRPr="00EC6955" w:rsidRDefault="0022546B" w:rsidP="0022546B">
            <w:pPr>
              <w:pStyle w:val="Prrafodelista"/>
              <w:autoSpaceDE w:val="0"/>
              <w:autoSpaceDN w:val="0"/>
              <w:spacing w:after="120"/>
              <w:rPr>
                <w:rFonts w:cstheme="minorHAnsi"/>
                <w:b/>
              </w:rPr>
            </w:pPr>
          </w:p>
          <w:p w14:paraId="6A1A0F0F" w14:textId="2F6D5A63" w:rsidR="00623C90" w:rsidRPr="00EC6955" w:rsidRDefault="0022546B" w:rsidP="00DE0671">
            <w:pPr>
              <w:pStyle w:val="Prrafodelista"/>
              <w:numPr>
                <w:ilvl w:val="0"/>
                <w:numId w:val="44"/>
              </w:numPr>
              <w:rPr>
                <w:color w:val="002060"/>
                <w:sz w:val="28"/>
                <w:szCs w:val="28"/>
              </w:rPr>
            </w:pPr>
            <w:r w:rsidRPr="00DE0671">
              <w:rPr>
                <w:rFonts w:cstheme="minorHAnsi"/>
                <w:b/>
              </w:rPr>
              <w:t>Programa Especial de Armonización para la Reintegración y Reincorporación Social y Económica con Enfoque Diferencial Étnico y de Género</w:t>
            </w:r>
            <w:r w:rsidR="00EC6955" w:rsidRPr="00DE0671">
              <w:rPr>
                <w:rFonts w:cstheme="minorHAnsi"/>
                <w:b/>
              </w:rPr>
              <w:t xml:space="preserve">: </w:t>
            </w:r>
            <w:r w:rsidR="00EC6955" w:rsidRPr="00DE0671">
              <w:rPr>
                <w:rFonts w:cstheme="minorHAnsi"/>
              </w:rPr>
              <w:t>En 2021 se adelantaron como desafíos el acercamiento con las autoridades indígenas y NARP para el    fortalecimiento de las propuestas para el programa especial de armonización de acuerdo a los intereses de la población beneficiaria y de las comunidades étnicas.</w:t>
            </w:r>
          </w:p>
        </w:tc>
      </w:tr>
    </w:tbl>
    <w:p w14:paraId="5C91C691" w14:textId="77777777" w:rsidR="00784E2E" w:rsidRPr="00920919" w:rsidRDefault="00784E2E" w:rsidP="005965DF">
      <w:pPr>
        <w:spacing w:after="0" w:line="240" w:lineRule="auto"/>
        <w:jc w:val="both"/>
        <w:rPr>
          <w:sz w:val="24"/>
          <w:szCs w:val="24"/>
        </w:rPr>
      </w:pPr>
    </w:p>
    <w:p w14:paraId="547EE75F" w14:textId="718D35F5" w:rsidR="00623C90" w:rsidRPr="0048016F" w:rsidRDefault="00623C90" w:rsidP="00623C90">
      <w:pPr>
        <w:spacing w:after="0" w:line="240" w:lineRule="auto"/>
        <w:jc w:val="both"/>
        <w:rPr>
          <w:b/>
          <w:i/>
          <w:sz w:val="32"/>
          <w:szCs w:val="24"/>
        </w:rPr>
      </w:pPr>
      <w:r w:rsidRPr="0048016F">
        <w:rPr>
          <w:b/>
          <w:i/>
          <w:sz w:val="32"/>
          <w:szCs w:val="24"/>
        </w:rPr>
        <w:t xml:space="preserve">Acción </w:t>
      </w:r>
      <w:r w:rsidR="007D5F9E">
        <w:rPr>
          <w:b/>
          <w:i/>
          <w:sz w:val="32"/>
          <w:szCs w:val="24"/>
        </w:rPr>
        <w:t>3</w:t>
      </w:r>
    </w:p>
    <w:p w14:paraId="237F0ADE" w14:textId="77777777" w:rsidR="00623C90" w:rsidRDefault="00623C90" w:rsidP="00623C90">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623C90" w14:paraId="2ED85E51"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BD0BAF1" w14:textId="77777777" w:rsidR="00623C90" w:rsidRDefault="00623C90" w:rsidP="00623C90">
            <w:pPr>
              <w:jc w:val="center"/>
              <w:rPr>
                <w:sz w:val="36"/>
                <w:szCs w:val="36"/>
              </w:rPr>
            </w:pPr>
            <w:r>
              <w:rPr>
                <w:sz w:val="36"/>
                <w:szCs w:val="36"/>
              </w:rPr>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469A771D" w14:textId="642094A8" w:rsidR="00623C90" w:rsidRDefault="007D5F9E" w:rsidP="00623C90">
            <w:pPr>
              <w:jc w:val="both"/>
              <w:rPr>
                <w:sz w:val="36"/>
                <w:szCs w:val="36"/>
              </w:rPr>
            </w:pPr>
            <w:r>
              <w:rPr>
                <w:rFonts w:cs="Arial"/>
                <w:sz w:val="24"/>
                <w:szCs w:val="24"/>
                <w:lang w:val="es-ES"/>
              </w:rPr>
              <w:t>En el Marco del Fin del Conflicto: a) Trámite de a</w:t>
            </w:r>
            <w:r w:rsidRPr="00196300">
              <w:rPr>
                <w:rFonts w:cs="Arial"/>
                <w:sz w:val="24"/>
                <w:szCs w:val="24"/>
                <w:lang w:val="es-ES"/>
              </w:rPr>
              <w:t xml:space="preserve">filiación al Sistema General de Seguridad Social en Salud </w:t>
            </w:r>
            <w:r>
              <w:rPr>
                <w:rFonts w:cs="Arial"/>
                <w:sz w:val="24"/>
                <w:szCs w:val="24"/>
                <w:lang w:val="es-ES"/>
              </w:rPr>
              <w:t>–</w:t>
            </w:r>
            <w:r w:rsidRPr="00196300">
              <w:rPr>
                <w:rFonts w:cs="Arial"/>
                <w:sz w:val="24"/>
                <w:szCs w:val="24"/>
                <w:lang w:val="es-ES"/>
              </w:rPr>
              <w:t>SGSSS</w:t>
            </w:r>
            <w:r>
              <w:rPr>
                <w:rFonts w:cs="Arial"/>
                <w:sz w:val="24"/>
                <w:szCs w:val="24"/>
                <w:lang w:val="es-ES"/>
              </w:rPr>
              <w:t xml:space="preserve"> de integrantes FARC y su grupo familiar. b) Trámite de libreta militar. c) Trámite de</w:t>
            </w:r>
            <w:r w:rsidRPr="00196300">
              <w:rPr>
                <w:rFonts w:cs="Arial"/>
                <w:sz w:val="24"/>
                <w:szCs w:val="24"/>
                <w:lang w:val="es-ES"/>
              </w:rPr>
              <w:t xml:space="preserve"> cédula de ciudadanía</w:t>
            </w:r>
            <w:r>
              <w:rPr>
                <w:rFonts w:cs="Arial"/>
                <w:sz w:val="24"/>
                <w:szCs w:val="24"/>
                <w:lang w:val="es-ES"/>
              </w:rPr>
              <w:t xml:space="preserve"> a integrantes FARC. d) Ajustar procedimientos para beneficios del programa de reincorporación.</w:t>
            </w:r>
          </w:p>
        </w:tc>
      </w:tr>
      <w:tr w:rsidR="00623C90" w14:paraId="4768D793" w14:textId="77777777" w:rsidTr="00623C90">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DA7078B" w14:textId="77777777" w:rsidR="00623C90" w:rsidRDefault="00623C90" w:rsidP="00623C90">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BD9293A" w14:textId="77777777" w:rsidR="00623C90" w:rsidRDefault="00623C90" w:rsidP="00623C90">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650F65B8" w14:textId="77777777" w:rsidR="00623C90" w:rsidRDefault="00623C90" w:rsidP="00623C90">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1ABE20E8" w14:textId="77777777" w:rsidR="00623C90" w:rsidRDefault="00623C90" w:rsidP="00623C90">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B012EB0" w14:textId="77777777" w:rsidR="00623C90" w:rsidRDefault="00623C90" w:rsidP="00623C90">
            <w:pPr>
              <w:jc w:val="center"/>
              <w:rPr>
                <w:sz w:val="36"/>
                <w:szCs w:val="36"/>
                <w:highlight w:val="yellow"/>
              </w:rPr>
            </w:pPr>
            <w:r>
              <w:rPr>
                <w:sz w:val="24"/>
                <w:szCs w:val="24"/>
              </w:rPr>
              <w:t>Sector</w:t>
            </w:r>
          </w:p>
        </w:tc>
      </w:tr>
      <w:tr w:rsidR="007D5F9E" w14:paraId="6E6A97C4" w14:textId="77777777" w:rsidTr="007D5F9E">
        <w:tc>
          <w:tcPr>
            <w:tcW w:w="2529" w:type="dxa"/>
            <w:tcBorders>
              <w:top w:val="single" w:sz="4" w:space="0" w:color="0070C0"/>
              <w:left w:val="single" w:sz="4" w:space="0" w:color="0070C0"/>
              <w:bottom w:val="single" w:sz="4" w:space="0" w:color="0070C0"/>
              <w:right w:val="single" w:sz="4" w:space="0" w:color="0070C0"/>
            </w:tcBorders>
            <w:vAlign w:val="center"/>
            <w:hideMark/>
          </w:tcPr>
          <w:p w14:paraId="05E02071" w14:textId="75AF6EEE" w:rsidR="007D5F9E" w:rsidRDefault="007D5F9E" w:rsidP="007D5F9E">
            <w:pPr>
              <w:jc w:val="center"/>
              <w:rPr>
                <w:sz w:val="24"/>
                <w:szCs w:val="24"/>
              </w:rPr>
            </w:pPr>
            <w:r w:rsidRPr="008D108F">
              <w:rPr>
                <w:rFonts w:cs="Arial"/>
              </w:rPr>
              <w:t xml:space="preserve">Porcentaje de miembros de </w:t>
            </w:r>
            <w:r>
              <w:rPr>
                <w:rFonts w:cs="Arial"/>
              </w:rPr>
              <w:t>FARC-EP</w:t>
            </w:r>
            <w:r w:rsidRPr="008D108F">
              <w:rPr>
                <w:rFonts w:cs="Arial"/>
              </w:rPr>
              <w:t xml:space="preserve"> acreditados y que voluntariamente acceden a la ruta reincorporación con todas las medidas de la reincorporación econó</w:t>
            </w:r>
            <w:r>
              <w:rPr>
                <w:rFonts w:cs="Arial"/>
              </w:rPr>
              <w:t>m</w:t>
            </w:r>
            <w:r w:rsidRPr="008D108F">
              <w:rPr>
                <w:rFonts w:cs="Arial"/>
              </w:rPr>
              <w:t>ica y social sostenible</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4318C7CB" w14:textId="77777777" w:rsidR="007D5F9E" w:rsidRDefault="007D5F9E" w:rsidP="007D5F9E">
            <w:pPr>
              <w:rPr>
                <w:sz w:val="24"/>
                <w:szCs w:val="24"/>
              </w:rPr>
            </w:pPr>
            <w:r>
              <w:rPr>
                <w:sz w:val="24"/>
                <w:szCs w:val="24"/>
              </w:rPr>
              <w:t>Meta trazadora</w:t>
            </w:r>
          </w:p>
          <w:p w14:paraId="57C3844F" w14:textId="65E660F3" w:rsidR="007D5F9E" w:rsidRDefault="007D5F9E" w:rsidP="007D5F9E">
            <w:pPr>
              <w:rPr>
                <w:sz w:val="24"/>
                <w:szCs w:val="24"/>
              </w:rPr>
            </w:pP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02B7C18A" w14:textId="08D7A3BD" w:rsidR="007D5F9E" w:rsidRDefault="007D5F9E" w:rsidP="007D5F9E">
            <w:pPr>
              <w:jc w:val="center"/>
              <w:rPr>
                <w:sz w:val="24"/>
                <w:szCs w:val="24"/>
              </w:rPr>
            </w:pPr>
            <w:r w:rsidRPr="00131DBD">
              <w:t>2017</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5E8881C1" w14:textId="50106A12" w:rsidR="007D5F9E" w:rsidRDefault="007D5F9E" w:rsidP="007D5F9E">
            <w:pPr>
              <w:jc w:val="center"/>
              <w:rPr>
                <w:sz w:val="24"/>
                <w:szCs w:val="24"/>
              </w:rPr>
            </w:pPr>
            <w:r w:rsidRPr="00131DBD">
              <w:t>20</w:t>
            </w:r>
            <w:r>
              <w:t>26</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35E6B2EA" w14:textId="35C85868" w:rsidR="007D5F9E" w:rsidRDefault="007D5F9E" w:rsidP="007D5F9E">
            <w:pPr>
              <w:jc w:val="center"/>
              <w:rPr>
                <w:sz w:val="24"/>
                <w:szCs w:val="24"/>
              </w:rPr>
            </w:pPr>
            <w:r>
              <w:rPr>
                <w:sz w:val="24"/>
                <w:szCs w:val="24"/>
              </w:rPr>
              <w:t>Presidencia</w:t>
            </w:r>
          </w:p>
        </w:tc>
      </w:tr>
      <w:tr w:rsidR="007D5F9E" w14:paraId="5FD1DC2A" w14:textId="77777777" w:rsidTr="007D5F9E">
        <w:tc>
          <w:tcPr>
            <w:tcW w:w="2529" w:type="dxa"/>
            <w:tcBorders>
              <w:top w:val="single" w:sz="4" w:space="0" w:color="0070C0"/>
              <w:left w:val="single" w:sz="4" w:space="0" w:color="0070C0"/>
              <w:bottom w:val="single" w:sz="4" w:space="0" w:color="0070C0"/>
              <w:right w:val="single" w:sz="4" w:space="0" w:color="0070C0"/>
            </w:tcBorders>
          </w:tcPr>
          <w:p w14:paraId="17AA2632" w14:textId="168DCC5E" w:rsidR="007D5F9E" w:rsidRPr="008D108F" w:rsidRDefault="007D5F9E" w:rsidP="007D5F9E">
            <w:pPr>
              <w:jc w:val="center"/>
              <w:rPr>
                <w:rFonts w:cs="Arial"/>
              </w:rPr>
            </w:pPr>
            <w:r w:rsidRPr="001D0303">
              <w:rPr>
                <w:rFonts w:cs="Arial"/>
              </w:rPr>
              <w:t>Consejos territoriales de Reincorporación creados y en funcionamiento</w:t>
            </w:r>
          </w:p>
        </w:tc>
        <w:tc>
          <w:tcPr>
            <w:tcW w:w="1821" w:type="dxa"/>
            <w:tcBorders>
              <w:top w:val="single" w:sz="4" w:space="0" w:color="0070C0"/>
              <w:left w:val="single" w:sz="4" w:space="0" w:color="0070C0"/>
              <w:bottom w:val="single" w:sz="4" w:space="0" w:color="0070C0"/>
              <w:right w:val="single" w:sz="4" w:space="0" w:color="0070C0"/>
            </w:tcBorders>
            <w:vAlign w:val="center"/>
          </w:tcPr>
          <w:p w14:paraId="758809C1" w14:textId="0E9A4B59" w:rsidR="007D5F9E" w:rsidRDefault="00F14E1C" w:rsidP="007D5F9E">
            <w:pPr>
              <w:rPr>
                <w:sz w:val="24"/>
                <w:szCs w:val="24"/>
                <w:highlight w:val="yellow"/>
              </w:rPr>
            </w:pPr>
            <w:r w:rsidRPr="00E447B3">
              <w:rPr>
                <w:sz w:val="24"/>
                <w:szCs w:val="24"/>
              </w:rPr>
              <w:t xml:space="preserve">Temático </w:t>
            </w:r>
          </w:p>
        </w:tc>
        <w:tc>
          <w:tcPr>
            <w:tcW w:w="1030" w:type="dxa"/>
            <w:tcBorders>
              <w:top w:val="single" w:sz="4" w:space="0" w:color="0070C0"/>
              <w:left w:val="single" w:sz="4" w:space="0" w:color="0070C0"/>
              <w:bottom w:val="single" w:sz="4" w:space="0" w:color="0070C0"/>
              <w:right w:val="single" w:sz="4" w:space="0" w:color="0070C0"/>
            </w:tcBorders>
            <w:vAlign w:val="center"/>
          </w:tcPr>
          <w:p w14:paraId="7EEB16CA" w14:textId="20C20876" w:rsidR="007D5F9E" w:rsidRDefault="007D5F9E" w:rsidP="007D5F9E">
            <w:pPr>
              <w:jc w:val="center"/>
              <w:rPr>
                <w:sz w:val="24"/>
                <w:szCs w:val="24"/>
                <w:highlight w:val="yellow"/>
              </w:rPr>
            </w:pPr>
            <w:r w:rsidRPr="001E3EDC">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1BD62FF5" w14:textId="4ECB5B20" w:rsidR="007D5F9E" w:rsidRDefault="007D5F9E" w:rsidP="007D5F9E">
            <w:pPr>
              <w:jc w:val="center"/>
              <w:rPr>
                <w:sz w:val="24"/>
                <w:szCs w:val="24"/>
                <w:highlight w:val="yellow"/>
              </w:rPr>
            </w:pPr>
            <w:r w:rsidRPr="001E3EDC">
              <w:t>20</w:t>
            </w:r>
            <w:r>
              <w:t>17</w:t>
            </w:r>
          </w:p>
        </w:tc>
        <w:tc>
          <w:tcPr>
            <w:tcW w:w="2418" w:type="dxa"/>
            <w:tcBorders>
              <w:top w:val="single" w:sz="4" w:space="0" w:color="0070C0"/>
              <w:left w:val="single" w:sz="4" w:space="0" w:color="0070C0"/>
              <w:bottom w:val="single" w:sz="4" w:space="0" w:color="0070C0"/>
              <w:right w:val="single" w:sz="4" w:space="0" w:color="0070C0"/>
            </w:tcBorders>
            <w:vAlign w:val="center"/>
          </w:tcPr>
          <w:p w14:paraId="02FA8520" w14:textId="7960231C" w:rsidR="007D5F9E" w:rsidRDefault="007D5F9E" w:rsidP="007D5F9E">
            <w:pPr>
              <w:jc w:val="center"/>
              <w:rPr>
                <w:sz w:val="24"/>
                <w:szCs w:val="24"/>
                <w:highlight w:val="yellow"/>
              </w:rPr>
            </w:pPr>
            <w:r>
              <w:rPr>
                <w:sz w:val="24"/>
                <w:szCs w:val="24"/>
              </w:rPr>
              <w:t>Presidencia</w:t>
            </w:r>
          </w:p>
        </w:tc>
      </w:tr>
      <w:tr w:rsidR="007D5F9E" w14:paraId="593D9826" w14:textId="77777777" w:rsidTr="007D5F9E">
        <w:tc>
          <w:tcPr>
            <w:tcW w:w="2529" w:type="dxa"/>
            <w:tcBorders>
              <w:top w:val="single" w:sz="4" w:space="0" w:color="0070C0"/>
              <w:left w:val="single" w:sz="4" w:space="0" w:color="0070C0"/>
              <w:bottom w:val="single" w:sz="4" w:space="0" w:color="0070C0"/>
              <w:right w:val="single" w:sz="4" w:space="0" w:color="0070C0"/>
            </w:tcBorders>
          </w:tcPr>
          <w:p w14:paraId="43A667B0" w14:textId="58E5EB18" w:rsidR="007D5F9E" w:rsidRPr="008D108F" w:rsidRDefault="007D5F9E" w:rsidP="007D5F9E">
            <w:pPr>
              <w:jc w:val="center"/>
              <w:rPr>
                <w:rFonts w:cs="Arial"/>
              </w:rPr>
            </w:pPr>
            <w:r w:rsidRPr="00165239">
              <w:rPr>
                <w:rFonts w:cs="Arial"/>
              </w:rPr>
              <w:t>Programa de atención especial para discapacitados del conflicto con incapacidad permanente y adultos mayores, que gestione recursos de cooperación no reembolsable internacional y de instituciones no gubernamentales para su realización, creado</w:t>
            </w:r>
          </w:p>
        </w:tc>
        <w:tc>
          <w:tcPr>
            <w:tcW w:w="1821" w:type="dxa"/>
            <w:tcBorders>
              <w:top w:val="single" w:sz="4" w:space="0" w:color="0070C0"/>
              <w:left w:val="single" w:sz="4" w:space="0" w:color="0070C0"/>
              <w:bottom w:val="single" w:sz="4" w:space="0" w:color="0070C0"/>
              <w:right w:val="single" w:sz="4" w:space="0" w:color="0070C0"/>
            </w:tcBorders>
            <w:vAlign w:val="center"/>
          </w:tcPr>
          <w:p w14:paraId="0B98E898" w14:textId="77777777" w:rsidR="00E447B3" w:rsidRDefault="00E447B3" w:rsidP="00E447B3">
            <w:pPr>
              <w:rPr>
                <w:sz w:val="24"/>
                <w:szCs w:val="24"/>
              </w:rPr>
            </w:pPr>
            <w:r>
              <w:rPr>
                <w:sz w:val="24"/>
                <w:szCs w:val="24"/>
              </w:rPr>
              <w:t>Meta trazadora</w:t>
            </w:r>
          </w:p>
          <w:p w14:paraId="61E49557" w14:textId="77777777" w:rsidR="007D5F9E" w:rsidRDefault="007D5F9E" w:rsidP="007D5F9E">
            <w:pPr>
              <w:rPr>
                <w:sz w:val="24"/>
                <w:szCs w:val="24"/>
                <w:highlight w:val="yellow"/>
              </w:rPr>
            </w:pPr>
          </w:p>
        </w:tc>
        <w:tc>
          <w:tcPr>
            <w:tcW w:w="1030" w:type="dxa"/>
            <w:tcBorders>
              <w:top w:val="single" w:sz="4" w:space="0" w:color="0070C0"/>
              <w:left w:val="single" w:sz="4" w:space="0" w:color="0070C0"/>
              <w:bottom w:val="single" w:sz="4" w:space="0" w:color="0070C0"/>
              <w:right w:val="single" w:sz="4" w:space="0" w:color="0070C0"/>
            </w:tcBorders>
            <w:vAlign w:val="center"/>
          </w:tcPr>
          <w:p w14:paraId="1942129C" w14:textId="6A73C6AB" w:rsidR="007D5F9E" w:rsidRDefault="007D5F9E" w:rsidP="007D5F9E">
            <w:pPr>
              <w:jc w:val="center"/>
              <w:rPr>
                <w:sz w:val="24"/>
                <w:szCs w:val="24"/>
                <w:highlight w:val="yellow"/>
              </w:rPr>
            </w:pPr>
            <w:r>
              <w:t>2018</w:t>
            </w:r>
          </w:p>
        </w:tc>
        <w:tc>
          <w:tcPr>
            <w:tcW w:w="1030" w:type="dxa"/>
            <w:tcBorders>
              <w:top w:val="single" w:sz="4" w:space="0" w:color="0070C0"/>
              <w:left w:val="single" w:sz="4" w:space="0" w:color="0070C0"/>
              <w:bottom w:val="single" w:sz="4" w:space="0" w:color="0070C0"/>
              <w:right w:val="single" w:sz="4" w:space="0" w:color="0070C0"/>
            </w:tcBorders>
            <w:vAlign w:val="center"/>
          </w:tcPr>
          <w:p w14:paraId="16D0A2A5" w14:textId="76998B79" w:rsidR="007D5F9E" w:rsidRDefault="007D5F9E" w:rsidP="007D5F9E">
            <w:pPr>
              <w:jc w:val="center"/>
              <w:rPr>
                <w:sz w:val="24"/>
                <w:szCs w:val="24"/>
                <w:highlight w:val="yellow"/>
              </w:rPr>
            </w:pPr>
            <w:r>
              <w:t>2026</w:t>
            </w:r>
          </w:p>
        </w:tc>
        <w:tc>
          <w:tcPr>
            <w:tcW w:w="2418" w:type="dxa"/>
            <w:tcBorders>
              <w:top w:val="single" w:sz="4" w:space="0" w:color="0070C0"/>
              <w:left w:val="single" w:sz="4" w:space="0" w:color="0070C0"/>
              <w:bottom w:val="single" w:sz="4" w:space="0" w:color="0070C0"/>
              <w:right w:val="single" w:sz="4" w:space="0" w:color="0070C0"/>
            </w:tcBorders>
            <w:vAlign w:val="center"/>
          </w:tcPr>
          <w:p w14:paraId="5CFC61B7" w14:textId="782FE673" w:rsidR="007D5F9E" w:rsidRDefault="007D5F9E" w:rsidP="007D5F9E">
            <w:pPr>
              <w:jc w:val="center"/>
              <w:rPr>
                <w:sz w:val="24"/>
                <w:szCs w:val="24"/>
                <w:highlight w:val="yellow"/>
              </w:rPr>
            </w:pPr>
            <w:r>
              <w:rPr>
                <w:sz w:val="24"/>
                <w:szCs w:val="24"/>
              </w:rPr>
              <w:t>Presidencia</w:t>
            </w:r>
          </w:p>
        </w:tc>
      </w:tr>
    </w:tbl>
    <w:p w14:paraId="0A4D3577" w14:textId="77777777" w:rsidR="00623C90" w:rsidRDefault="00623C90" w:rsidP="00623C90">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7097"/>
      </w:tblGrid>
      <w:tr w:rsidR="00623C90" w14:paraId="1CE0F5D6"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4F08C210" w14:textId="77777777" w:rsidR="00623C90" w:rsidRDefault="00623C90" w:rsidP="00623C90">
            <w:pPr>
              <w:jc w:val="center"/>
              <w:rPr>
                <w:sz w:val="24"/>
                <w:szCs w:val="24"/>
              </w:rPr>
            </w:pPr>
            <w:r>
              <w:rPr>
                <w:noProof/>
                <w:lang w:eastAsia="es-CO"/>
              </w:rPr>
              <w:lastRenderedPageBreak/>
              <w:drawing>
                <wp:inline distT="0" distB="0" distL="0" distR="0" wp14:anchorId="2BE194F9" wp14:editId="081CD413">
                  <wp:extent cx="771525" cy="933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1E09C39F" w14:textId="77777777" w:rsidR="00623C90" w:rsidRDefault="00623C90" w:rsidP="00623C90">
            <w:pPr>
              <w:jc w:val="both"/>
              <w:rPr>
                <w:color w:val="002060"/>
                <w:sz w:val="28"/>
                <w:szCs w:val="28"/>
              </w:rPr>
            </w:pPr>
            <w:r>
              <w:rPr>
                <w:color w:val="002060"/>
                <w:sz w:val="28"/>
                <w:szCs w:val="28"/>
              </w:rPr>
              <w:t>¿Cómo lo hicimos?</w:t>
            </w:r>
          </w:p>
          <w:p w14:paraId="64B32BBE" w14:textId="77777777" w:rsidR="00E447B3" w:rsidRPr="00D31EC2" w:rsidRDefault="00E447B3" w:rsidP="00E447B3">
            <w:pPr>
              <w:jc w:val="both"/>
              <w:rPr>
                <w:i/>
              </w:rPr>
            </w:pPr>
          </w:p>
          <w:p w14:paraId="50D5C645" w14:textId="6FFF3875" w:rsidR="00E447B3" w:rsidRPr="00F10E86" w:rsidRDefault="00E447B3" w:rsidP="009D507C">
            <w:pPr>
              <w:pStyle w:val="Prrafodelista"/>
              <w:numPr>
                <w:ilvl w:val="0"/>
                <w:numId w:val="32"/>
              </w:numPr>
              <w:ind w:left="0" w:hanging="13"/>
              <w:jc w:val="both"/>
              <w:rPr>
                <w:rFonts w:cstheme="minorHAnsi"/>
              </w:rPr>
            </w:pPr>
            <w:r w:rsidRPr="00F10E86">
              <w:rPr>
                <w:rFonts w:cstheme="minorHAnsi"/>
                <w:b/>
                <w:u w:val="single"/>
              </w:rPr>
              <w:t>Porcentaje de miembros de FARC-EP acreditados y que voluntariamente acceden a la ruta reincorporación con todas las medidas de la reincorporación económica y social sostenible</w:t>
            </w:r>
            <w:r w:rsidR="00F10E86" w:rsidRPr="00F10E86">
              <w:rPr>
                <w:rFonts w:cstheme="minorHAnsi"/>
                <w:b/>
                <w:u w:val="single"/>
              </w:rPr>
              <w:t xml:space="preserve">: </w:t>
            </w:r>
            <w:r w:rsidR="00F10E86">
              <w:rPr>
                <w:rFonts w:cstheme="minorHAnsi"/>
                <w:b/>
                <w:u w:val="single"/>
              </w:rPr>
              <w:t xml:space="preserve"> </w:t>
            </w:r>
            <w:r w:rsidRPr="00F10E86">
              <w:rPr>
                <w:rFonts w:cstheme="minorHAnsi"/>
              </w:rPr>
              <w:t xml:space="preserve">La atención a miembros de FARC-EP acreditados, está fundamentada en la prestación de alguno de los siguientes servicios: Actividad con actor externo, Actividad Individual, Actividad Familiar o Actividad Grupal. </w:t>
            </w:r>
          </w:p>
          <w:p w14:paraId="34242846" w14:textId="77777777" w:rsidR="00E447B3" w:rsidRPr="00377266" w:rsidRDefault="00E447B3" w:rsidP="00E447B3">
            <w:pPr>
              <w:pStyle w:val="Prrafodelista"/>
              <w:rPr>
                <w:rFonts w:cstheme="minorHAnsi"/>
              </w:rPr>
            </w:pPr>
          </w:p>
          <w:p w14:paraId="6A29CBC9" w14:textId="77777777" w:rsidR="00E447B3" w:rsidRPr="00F1703C" w:rsidRDefault="00E447B3" w:rsidP="00E447B3">
            <w:pPr>
              <w:rPr>
                <w:rFonts w:cstheme="minorHAnsi"/>
              </w:rPr>
            </w:pPr>
            <w:r w:rsidRPr="00F1703C">
              <w:rPr>
                <w:rFonts w:cstheme="minorHAnsi"/>
              </w:rPr>
              <w:t>Estas actividades hacen referencia a los encuentros personales que se tienen con la población, para conocer sus necesidades y generar acercamiento a la oferta pública y/o privada movilizada por la Agencia en pro de la población, son brindadas los facilitadores de la Agencia quienes realizan el acompañamiento de las personas acreditadas que acceden a la ruta de reincorporación.</w:t>
            </w:r>
          </w:p>
          <w:p w14:paraId="607BCD5C" w14:textId="77777777" w:rsidR="00E447B3" w:rsidRPr="00377266" w:rsidRDefault="00E447B3" w:rsidP="00E447B3">
            <w:pPr>
              <w:pStyle w:val="Prrafodelista"/>
              <w:rPr>
                <w:rFonts w:cstheme="minorHAnsi"/>
              </w:rPr>
            </w:pPr>
          </w:p>
          <w:p w14:paraId="08823F7B" w14:textId="77777777" w:rsidR="00E447B3" w:rsidRPr="00377266" w:rsidRDefault="00E447B3" w:rsidP="00E447B3">
            <w:pPr>
              <w:rPr>
                <w:rFonts w:eastAsia="Times New Roman" w:cstheme="minorHAnsi"/>
                <w:lang w:eastAsia="es-CO"/>
              </w:rPr>
            </w:pPr>
            <w:r w:rsidRPr="00377266">
              <w:rPr>
                <w:rFonts w:cstheme="minorHAnsi"/>
              </w:rPr>
              <w:t>Para la vigencia 202</w:t>
            </w:r>
            <w:r>
              <w:rPr>
                <w:rFonts w:cstheme="minorHAnsi"/>
              </w:rPr>
              <w:t>1</w:t>
            </w:r>
            <w:r w:rsidRPr="00377266">
              <w:rPr>
                <w:rFonts w:cstheme="minorHAnsi"/>
                <w:i/>
              </w:rPr>
              <w:t xml:space="preserve">, </w:t>
            </w:r>
            <w:r w:rsidRPr="00377266">
              <w:rPr>
                <w:rFonts w:cstheme="minorHAnsi"/>
              </w:rPr>
              <w:t>el porcentaje de personas</w:t>
            </w:r>
            <w:r w:rsidRPr="00377266">
              <w:rPr>
                <w:rFonts w:cstheme="minorHAnsi"/>
                <w:i/>
              </w:rPr>
              <w:t xml:space="preserve"> </w:t>
            </w:r>
            <w:r w:rsidRPr="00377266">
              <w:rPr>
                <w:rFonts w:cstheme="minorHAnsi"/>
              </w:rPr>
              <w:t>acreditadas por la OACP</w:t>
            </w:r>
            <w:r w:rsidRPr="00377266">
              <w:rPr>
                <w:rStyle w:val="Refdenotaalpie"/>
                <w:rFonts w:cstheme="minorHAnsi"/>
              </w:rPr>
              <w:footnoteReference w:id="4"/>
            </w:r>
            <w:r w:rsidRPr="00377266">
              <w:rPr>
                <w:rFonts w:cstheme="minorHAnsi"/>
              </w:rPr>
              <w:t xml:space="preserve"> como ex integrantes de FARC EP </w:t>
            </w:r>
            <w:r w:rsidRPr="00377266">
              <w:rPr>
                <w:rFonts w:cstheme="minorHAnsi"/>
                <w:i/>
              </w:rPr>
              <w:t>atendidos</w:t>
            </w:r>
            <w:r>
              <w:rPr>
                <w:rFonts w:cstheme="minorHAnsi"/>
                <w:i/>
              </w:rPr>
              <w:t>,</w:t>
            </w:r>
            <w:r w:rsidRPr="00377266">
              <w:rPr>
                <w:rFonts w:cstheme="minorHAnsi"/>
              </w:rPr>
              <w:t xml:space="preserve"> aumentó en </w:t>
            </w:r>
            <w:r>
              <w:rPr>
                <w:rFonts w:cstheme="minorHAnsi"/>
              </w:rPr>
              <w:t>2</w:t>
            </w:r>
            <w:r w:rsidRPr="00377266">
              <w:rPr>
                <w:rFonts w:cstheme="minorHAnsi"/>
              </w:rPr>
              <w:t xml:space="preserve"> puntos porcentuales al pasar de 8</w:t>
            </w:r>
            <w:r>
              <w:rPr>
                <w:rFonts w:cstheme="minorHAnsi"/>
              </w:rPr>
              <w:t>7</w:t>
            </w:r>
            <w:r w:rsidRPr="00377266">
              <w:rPr>
                <w:rFonts w:cstheme="minorHAnsi"/>
              </w:rPr>
              <w:t xml:space="preserve">% en el mes de enero a </w:t>
            </w:r>
            <w:r>
              <w:rPr>
                <w:rFonts w:cstheme="minorHAnsi"/>
              </w:rPr>
              <w:t>89</w:t>
            </w:r>
            <w:r w:rsidRPr="00377266">
              <w:rPr>
                <w:rFonts w:cstheme="minorHAnsi"/>
              </w:rPr>
              <w:t xml:space="preserve">% en diciembre, de los cuales </w:t>
            </w:r>
            <w:r>
              <w:rPr>
                <w:rFonts w:cstheme="minorHAnsi"/>
              </w:rPr>
              <w:t>2</w:t>
            </w:r>
            <w:r w:rsidRPr="00377266">
              <w:rPr>
                <w:rFonts w:cstheme="minorHAnsi"/>
              </w:rPr>
              <w:t>.</w:t>
            </w:r>
            <w:r>
              <w:rPr>
                <w:rFonts w:cstheme="minorHAnsi"/>
              </w:rPr>
              <w:t>998</w:t>
            </w:r>
            <w:r w:rsidRPr="00377266">
              <w:rPr>
                <w:rFonts w:cstheme="minorHAnsi"/>
              </w:rPr>
              <w:t xml:space="preserve"> son mujeres, </w:t>
            </w:r>
            <w:r>
              <w:rPr>
                <w:rFonts w:cstheme="minorHAnsi"/>
              </w:rPr>
              <w:t>8.397</w:t>
            </w:r>
            <w:r w:rsidRPr="00377266">
              <w:rPr>
                <w:rFonts w:cstheme="minorHAnsi"/>
              </w:rPr>
              <w:t xml:space="preserve"> son</w:t>
            </w:r>
            <w:r w:rsidRPr="00377266">
              <w:rPr>
                <w:rFonts w:cstheme="minorHAnsi"/>
                <w:sz w:val="24"/>
                <w:szCs w:val="24"/>
              </w:rPr>
              <w:t xml:space="preserve"> </w:t>
            </w:r>
            <w:r w:rsidRPr="00377266">
              <w:rPr>
                <w:rFonts w:cstheme="minorHAnsi"/>
              </w:rPr>
              <w:t>hombres, para un total de 11.</w:t>
            </w:r>
            <w:r>
              <w:rPr>
                <w:rFonts w:cstheme="minorHAnsi"/>
              </w:rPr>
              <w:t>395</w:t>
            </w:r>
            <w:r w:rsidRPr="00377266">
              <w:rPr>
                <w:rFonts w:cstheme="minorHAnsi"/>
              </w:rPr>
              <w:t xml:space="preserve"> personas atendidas de 1</w:t>
            </w:r>
            <w:r>
              <w:rPr>
                <w:rFonts w:cstheme="minorHAnsi"/>
              </w:rPr>
              <w:t>2</w:t>
            </w:r>
            <w:r w:rsidRPr="00377266">
              <w:rPr>
                <w:rFonts w:cstheme="minorHAnsi"/>
              </w:rPr>
              <w:t>.</w:t>
            </w:r>
            <w:r>
              <w:rPr>
                <w:rFonts w:cstheme="minorHAnsi"/>
              </w:rPr>
              <w:t>843</w:t>
            </w:r>
            <w:r w:rsidRPr="00377266">
              <w:rPr>
                <w:rFonts w:cstheme="minorHAnsi"/>
              </w:rPr>
              <w:t xml:space="preserve"> personas objeto de atención. </w:t>
            </w:r>
            <w:r w:rsidRPr="00377266">
              <w:rPr>
                <w:rFonts w:eastAsia="Times New Roman" w:cstheme="minorHAnsi"/>
                <w:lang w:eastAsia="es-CO"/>
              </w:rPr>
              <w:t>Referente a las personas que se auto reconocen pertenecientes a un componente étnico, se atendieron 2.0</w:t>
            </w:r>
            <w:r>
              <w:rPr>
                <w:rFonts w:eastAsia="Times New Roman" w:cstheme="minorHAnsi"/>
                <w:lang w:eastAsia="es-CO"/>
              </w:rPr>
              <w:t>65</w:t>
            </w:r>
            <w:r w:rsidRPr="00377266">
              <w:rPr>
                <w:rFonts w:eastAsia="Times New Roman" w:cstheme="minorHAnsi"/>
                <w:lang w:eastAsia="es-CO"/>
              </w:rPr>
              <w:t xml:space="preserve"> personas de 2.1</w:t>
            </w:r>
            <w:r>
              <w:rPr>
                <w:rFonts w:eastAsia="Times New Roman" w:cstheme="minorHAnsi"/>
                <w:lang w:eastAsia="es-CO"/>
              </w:rPr>
              <w:t>66</w:t>
            </w:r>
            <w:r w:rsidRPr="00377266">
              <w:rPr>
                <w:rFonts w:eastAsia="Times New Roman" w:cstheme="minorHAnsi"/>
                <w:lang w:eastAsia="es-CO"/>
              </w:rPr>
              <w:t xml:space="preserve"> objeto de atención, lo que equivale al 95%, se atendieron 1.3</w:t>
            </w:r>
            <w:r>
              <w:rPr>
                <w:rFonts w:eastAsia="Times New Roman" w:cstheme="minorHAnsi"/>
                <w:lang w:eastAsia="es-CO"/>
              </w:rPr>
              <w:t>59</w:t>
            </w:r>
            <w:r w:rsidRPr="00377266">
              <w:rPr>
                <w:rFonts w:eastAsia="Times New Roman" w:cstheme="minorHAnsi"/>
                <w:lang w:eastAsia="es-CO"/>
              </w:rPr>
              <w:t xml:space="preserve"> Indígenas, 62</w:t>
            </w:r>
            <w:r>
              <w:rPr>
                <w:rFonts w:eastAsia="Times New Roman" w:cstheme="minorHAnsi"/>
                <w:lang w:eastAsia="es-CO"/>
              </w:rPr>
              <w:t>8</w:t>
            </w:r>
            <w:r w:rsidRPr="00377266">
              <w:rPr>
                <w:rFonts w:eastAsia="Times New Roman" w:cstheme="minorHAnsi"/>
                <w:lang w:eastAsia="es-CO"/>
              </w:rPr>
              <w:t xml:space="preserve"> Afrocolombianos, 1 Gitano y 7</w:t>
            </w:r>
            <w:r>
              <w:rPr>
                <w:rFonts w:eastAsia="Times New Roman" w:cstheme="minorHAnsi"/>
                <w:lang w:eastAsia="es-CO"/>
              </w:rPr>
              <w:t>7</w:t>
            </w:r>
            <w:r w:rsidRPr="00377266">
              <w:rPr>
                <w:rFonts w:eastAsia="Times New Roman" w:cstheme="minorHAnsi"/>
                <w:lang w:eastAsia="es-CO"/>
              </w:rPr>
              <w:t xml:space="preserve"> personas de otros componentes étnicos.</w:t>
            </w:r>
          </w:p>
          <w:p w14:paraId="07CA0B3B" w14:textId="77777777" w:rsidR="00E447B3" w:rsidRPr="001335FD" w:rsidRDefault="00E447B3" w:rsidP="00E447B3">
            <w:pPr>
              <w:jc w:val="both"/>
              <w:rPr>
                <w:rFonts w:cs="Arial"/>
                <w:lang w:val="es-ES"/>
              </w:rPr>
            </w:pPr>
          </w:p>
          <w:p w14:paraId="24206036" w14:textId="77FDC1F4" w:rsidR="00E447B3" w:rsidRDefault="00E447B3" w:rsidP="00E447B3">
            <w:pPr>
              <w:jc w:val="both"/>
              <w:rPr>
                <w:rFonts w:cstheme="minorHAnsi"/>
              </w:rPr>
            </w:pPr>
            <w:r w:rsidRPr="00377266">
              <w:rPr>
                <w:rFonts w:cstheme="minorHAnsi"/>
              </w:rPr>
              <w:t>La evolución de este indicador a lo largo de 202</w:t>
            </w:r>
            <w:r>
              <w:rPr>
                <w:rFonts w:cstheme="minorHAnsi"/>
              </w:rPr>
              <w:t>1</w:t>
            </w:r>
            <w:r w:rsidRPr="00377266">
              <w:rPr>
                <w:rFonts w:cstheme="minorHAnsi"/>
              </w:rPr>
              <w:t xml:space="preserve"> puede observarse en el siguiente gráfico:</w:t>
            </w:r>
          </w:p>
          <w:p w14:paraId="5D069976" w14:textId="77777777" w:rsidR="00A1223A" w:rsidRDefault="00A1223A" w:rsidP="00E447B3">
            <w:pPr>
              <w:jc w:val="both"/>
              <w:rPr>
                <w:rFonts w:cstheme="minorHAnsi"/>
              </w:rPr>
            </w:pPr>
          </w:p>
          <w:p w14:paraId="0917BDFB" w14:textId="77777777" w:rsidR="00E447B3" w:rsidRDefault="00E447B3" w:rsidP="00E447B3">
            <w:pPr>
              <w:jc w:val="center"/>
              <w:rPr>
                <w:rFonts w:cstheme="minorHAnsi"/>
              </w:rPr>
            </w:pPr>
            <w:r>
              <w:rPr>
                <w:noProof/>
              </w:rPr>
              <w:drawing>
                <wp:inline distT="0" distB="0" distL="0" distR="0" wp14:anchorId="3D32AC83" wp14:editId="08EC1C0D">
                  <wp:extent cx="4187190" cy="1597660"/>
                  <wp:effectExtent l="0" t="0" r="3810" b="2540"/>
                  <wp:docPr id="43" name="Gráfico 43">
                    <a:extLst xmlns:a="http://schemas.openxmlformats.org/drawingml/2006/main">
                      <a:ext uri="{FF2B5EF4-FFF2-40B4-BE49-F238E27FC236}">
                        <a16:creationId xmlns:a16="http://schemas.microsoft.com/office/drawing/2014/main" id="{0709502F-F1AE-440E-A75B-802E111AC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DFE8CC" w14:textId="77777777" w:rsidR="00E447B3" w:rsidRPr="00E967F9" w:rsidRDefault="00E447B3" w:rsidP="00E447B3">
            <w:pPr>
              <w:ind w:left="691"/>
              <w:jc w:val="center"/>
              <w:rPr>
                <w:rFonts w:cstheme="minorHAnsi"/>
                <w:i/>
                <w:lang w:val="es-ES"/>
              </w:rPr>
            </w:pPr>
            <w:r w:rsidRPr="00E967F9">
              <w:rPr>
                <w:rFonts w:cstheme="minorHAnsi"/>
                <w:i/>
                <w:lang w:val="es-ES"/>
              </w:rPr>
              <w:t>Fuente:  Sistema de Información para la Reintegración y Reincorporación SIRR</w:t>
            </w:r>
          </w:p>
          <w:p w14:paraId="1EF2D72B" w14:textId="77777777" w:rsidR="00E447B3" w:rsidRDefault="00E447B3" w:rsidP="00E447B3">
            <w:pPr>
              <w:ind w:left="691"/>
              <w:rPr>
                <w:rFonts w:cstheme="minorHAnsi"/>
              </w:rPr>
            </w:pPr>
          </w:p>
          <w:p w14:paraId="6535463D" w14:textId="77777777" w:rsidR="00E447B3" w:rsidRPr="00377266" w:rsidRDefault="00E447B3" w:rsidP="00E447B3">
            <w:pPr>
              <w:rPr>
                <w:rFonts w:cstheme="minorHAnsi"/>
              </w:rPr>
            </w:pPr>
            <w:r w:rsidRPr="00377266">
              <w:rPr>
                <w:rFonts w:cstheme="minorHAnsi"/>
              </w:rPr>
              <w:t>En diciembre, los 5 departamentos con más personas atendidas fueron Meta con 1.3</w:t>
            </w:r>
            <w:r>
              <w:rPr>
                <w:rFonts w:cstheme="minorHAnsi"/>
              </w:rPr>
              <w:t>22</w:t>
            </w:r>
            <w:r w:rsidRPr="00377266">
              <w:rPr>
                <w:rFonts w:cstheme="minorHAnsi"/>
              </w:rPr>
              <w:t xml:space="preserve"> personas, Antioquia con 1.2</w:t>
            </w:r>
            <w:r>
              <w:rPr>
                <w:rFonts w:cstheme="minorHAnsi"/>
              </w:rPr>
              <w:t>39</w:t>
            </w:r>
            <w:r w:rsidRPr="00377266">
              <w:rPr>
                <w:rFonts w:cstheme="minorHAnsi"/>
              </w:rPr>
              <w:t xml:space="preserve"> personas, Cauca con 1.1</w:t>
            </w:r>
            <w:r>
              <w:rPr>
                <w:rFonts w:cstheme="minorHAnsi"/>
              </w:rPr>
              <w:t>18</w:t>
            </w:r>
            <w:r w:rsidRPr="00377266">
              <w:rPr>
                <w:rFonts w:cstheme="minorHAnsi"/>
              </w:rPr>
              <w:t xml:space="preserve"> personas, Caquetá con </w:t>
            </w:r>
            <w:r>
              <w:rPr>
                <w:rFonts w:cstheme="minorHAnsi"/>
              </w:rPr>
              <w:t>817</w:t>
            </w:r>
            <w:r w:rsidRPr="00377266">
              <w:rPr>
                <w:rFonts w:cstheme="minorHAnsi"/>
              </w:rPr>
              <w:t xml:space="preserve"> personas y Tolima con 7</w:t>
            </w:r>
            <w:r>
              <w:rPr>
                <w:rFonts w:cstheme="minorHAnsi"/>
              </w:rPr>
              <w:t>22</w:t>
            </w:r>
            <w:r w:rsidRPr="00377266">
              <w:rPr>
                <w:rFonts w:cstheme="minorHAnsi"/>
              </w:rPr>
              <w:t xml:space="preserve"> personas. En estos </w:t>
            </w:r>
            <w:r w:rsidRPr="00377266">
              <w:rPr>
                <w:rFonts w:cstheme="minorHAnsi"/>
              </w:rPr>
              <w:lastRenderedPageBreak/>
              <w:t>departamentos se brindó atención al 4</w:t>
            </w:r>
            <w:r>
              <w:rPr>
                <w:rFonts w:cstheme="minorHAnsi"/>
              </w:rPr>
              <w:t>6</w:t>
            </w:r>
            <w:r w:rsidRPr="00377266">
              <w:rPr>
                <w:rFonts w:cstheme="minorHAnsi"/>
              </w:rPr>
              <w:t xml:space="preserve">% del total de personas atendidas a nivel nacional. </w:t>
            </w:r>
          </w:p>
          <w:p w14:paraId="47D48626" w14:textId="77777777" w:rsidR="00E447B3" w:rsidRDefault="00E447B3" w:rsidP="00E447B3">
            <w:pPr>
              <w:jc w:val="both"/>
              <w:rPr>
                <w:rFonts w:cs="Arial"/>
                <w:lang w:val="es-ES"/>
              </w:rPr>
            </w:pPr>
          </w:p>
          <w:p w14:paraId="34BCAE5E" w14:textId="043CEF9A" w:rsidR="00E447B3" w:rsidRPr="00F10E86" w:rsidRDefault="00E447B3" w:rsidP="009D507C">
            <w:pPr>
              <w:pStyle w:val="Prrafodelista"/>
              <w:numPr>
                <w:ilvl w:val="0"/>
                <w:numId w:val="55"/>
              </w:numPr>
              <w:adjustRightInd w:val="0"/>
              <w:ind w:right="4"/>
              <w:rPr>
                <w:rFonts w:cstheme="minorHAnsi"/>
              </w:rPr>
            </w:pPr>
            <w:r w:rsidRPr="00F10E86">
              <w:rPr>
                <w:rFonts w:cstheme="minorHAnsi"/>
                <w:b/>
                <w:u w:val="single"/>
                <w:lang w:val="es-ES"/>
              </w:rPr>
              <w:t>Consejos Territoriales De Reincorporación</w:t>
            </w:r>
            <w:r w:rsidR="00F10E86" w:rsidRPr="00F10E86">
              <w:rPr>
                <w:rFonts w:cstheme="minorHAnsi"/>
                <w:b/>
                <w:u w:val="single"/>
                <w:lang w:val="es-ES"/>
              </w:rPr>
              <w:t>:</w:t>
            </w:r>
            <w:r w:rsidR="00F10E86">
              <w:rPr>
                <w:rFonts w:cstheme="minorHAnsi"/>
                <w:b/>
                <w:u w:val="single"/>
                <w:lang w:val="es-ES"/>
              </w:rPr>
              <w:t xml:space="preserve"> </w:t>
            </w:r>
            <w:r w:rsidRPr="00F10E86">
              <w:rPr>
                <w:rFonts w:cstheme="minorHAnsi"/>
              </w:rPr>
              <w:t>Se cuentan con 24 Consejos Territoriales de Reincorporación (CTR) ubicados en 24 municipios y 13 departamentos, han realizado un total 110 reuniones durante el 2021.</w:t>
            </w:r>
          </w:p>
          <w:p w14:paraId="457A168D" w14:textId="77777777" w:rsidR="00E447B3" w:rsidRDefault="00E447B3" w:rsidP="00E447B3">
            <w:pPr>
              <w:pStyle w:val="Sinespaciado"/>
              <w:adjustRightInd w:val="0"/>
              <w:ind w:right="4"/>
              <w:contextualSpacing/>
              <w:rPr>
                <w:rFonts w:cstheme="minorHAnsi"/>
              </w:rPr>
            </w:pPr>
          </w:p>
          <w:p w14:paraId="77C00738" w14:textId="77777777" w:rsidR="00E447B3" w:rsidRPr="00CC3514" w:rsidRDefault="00E447B3" w:rsidP="00631DF4">
            <w:pPr>
              <w:pStyle w:val="Sinespaciado"/>
              <w:numPr>
                <w:ilvl w:val="0"/>
                <w:numId w:val="25"/>
              </w:numPr>
              <w:adjustRightInd w:val="0"/>
              <w:ind w:right="4"/>
              <w:contextualSpacing/>
              <w:rPr>
                <w:rFonts w:cstheme="minorHAnsi"/>
              </w:rPr>
            </w:pPr>
            <w:r w:rsidRPr="00CC3514">
              <w:rPr>
                <w:rFonts w:cstheme="minorHAnsi"/>
              </w:rPr>
              <w:t xml:space="preserve">Los CTR han sido instancias clave para el posicionamiento de la política de reincorporación a nivel local, convirtiéndose en espacios de diálogo y concertación con las comunidades que habitan los territorios donde se desarrolla la reincorporación. Su gestión ha permitido apoyar la implementación y sostenimiento de diferentes proyectos de tipo productivo, el desarrollo de iniciativas para mejorar la atención educativa y de salud de las personas en reincorporación y demás integrantes de la comunidad. </w:t>
            </w:r>
          </w:p>
          <w:p w14:paraId="1CE1F40B" w14:textId="77777777" w:rsidR="00E447B3" w:rsidRPr="00377266" w:rsidRDefault="00E447B3" w:rsidP="00631DF4">
            <w:pPr>
              <w:pStyle w:val="Sinespaciado"/>
              <w:numPr>
                <w:ilvl w:val="0"/>
                <w:numId w:val="25"/>
              </w:numPr>
              <w:adjustRightInd w:val="0"/>
              <w:ind w:right="4"/>
              <w:contextualSpacing/>
              <w:rPr>
                <w:rFonts w:cstheme="minorHAnsi"/>
              </w:rPr>
            </w:pPr>
            <w:r w:rsidRPr="00377266">
              <w:rPr>
                <w:rFonts w:cstheme="minorHAnsi"/>
                <w:lang w:val="es-ES"/>
              </w:rPr>
              <w:t xml:space="preserve">Respecto a su implementación, se </w:t>
            </w:r>
            <w:r w:rsidRPr="006E157F">
              <w:rPr>
                <w:rFonts w:cstheme="minorHAnsi"/>
                <w:lang w:val="es-ES"/>
              </w:rPr>
              <w:t>realizaron 1</w:t>
            </w:r>
            <w:r>
              <w:rPr>
                <w:rFonts w:cstheme="minorHAnsi"/>
                <w:lang w:val="es-ES"/>
              </w:rPr>
              <w:t>10</w:t>
            </w:r>
            <w:r w:rsidRPr="006E157F">
              <w:rPr>
                <w:rFonts w:cstheme="minorHAnsi"/>
                <w:lang w:val="es-ES"/>
              </w:rPr>
              <w:t xml:space="preserve"> sesiones; de las cuales 1</w:t>
            </w:r>
            <w:r>
              <w:rPr>
                <w:rFonts w:cstheme="minorHAnsi"/>
                <w:lang w:val="es-ES"/>
              </w:rPr>
              <w:t>03</w:t>
            </w:r>
            <w:r w:rsidRPr="006E157F">
              <w:rPr>
                <w:rFonts w:cstheme="minorHAnsi"/>
                <w:lang w:val="es-ES"/>
              </w:rPr>
              <w:t xml:space="preserve"> fueron ordinarias</w:t>
            </w:r>
            <w:r>
              <w:rPr>
                <w:rFonts w:cstheme="minorHAnsi"/>
                <w:lang w:val="es-ES"/>
              </w:rPr>
              <w:t xml:space="preserve"> y 7 de otro tipo (</w:t>
            </w:r>
            <w:r w:rsidRPr="006E157F">
              <w:rPr>
                <w:rFonts w:cstheme="minorHAnsi"/>
                <w:lang w:val="es-ES"/>
              </w:rPr>
              <w:t>extraordinarias,</w:t>
            </w:r>
            <w:r>
              <w:rPr>
                <w:rFonts w:cstheme="minorHAnsi"/>
                <w:lang w:val="es-ES"/>
              </w:rPr>
              <w:t xml:space="preserve"> </w:t>
            </w:r>
            <w:r w:rsidRPr="006E157F">
              <w:rPr>
                <w:rFonts w:cstheme="minorHAnsi"/>
                <w:lang w:val="es-ES"/>
              </w:rPr>
              <w:t>secretaria técnica</w:t>
            </w:r>
            <w:r>
              <w:rPr>
                <w:rFonts w:cstheme="minorHAnsi"/>
                <w:lang w:val="es-ES"/>
              </w:rPr>
              <w:t xml:space="preserve">, </w:t>
            </w:r>
            <w:r w:rsidRPr="006E157F">
              <w:rPr>
                <w:rFonts w:cstheme="minorHAnsi"/>
                <w:lang w:val="es-ES"/>
              </w:rPr>
              <w:t>gesti</w:t>
            </w:r>
            <w:r>
              <w:rPr>
                <w:rFonts w:cstheme="minorHAnsi"/>
                <w:lang w:val="es-ES"/>
              </w:rPr>
              <w:t>o</w:t>
            </w:r>
            <w:r w:rsidRPr="006E157F">
              <w:rPr>
                <w:rFonts w:cstheme="minorHAnsi"/>
                <w:lang w:val="es-ES"/>
              </w:rPr>
              <w:t>n</w:t>
            </w:r>
            <w:r>
              <w:rPr>
                <w:rFonts w:cstheme="minorHAnsi"/>
                <w:lang w:val="es-ES"/>
              </w:rPr>
              <w:t xml:space="preserve">es </w:t>
            </w:r>
            <w:r w:rsidRPr="006E157F">
              <w:rPr>
                <w:rFonts w:cstheme="minorHAnsi"/>
                <w:lang w:val="es-ES"/>
              </w:rPr>
              <w:t>con actores externos,</w:t>
            </w:r>
            <w:r>
              <w:rPr>
                <w:rFonts w:cstheme="minorHAnsi"/>
                <w:lang w:val="es-ES"/>
              </w:rPr>
              <w:t xml:space="preserve"> etc.)</w:t>
            </w:r>
            <w:r w:rsidRPr="006E157F">
              <w:rPr>
                <w:rFonts w:cstheme="minorHAnsi"/>
                <w:lang w:val="es-ES"/>
              </w:rPr>
              <w:t xml:space="preserve"> </w:t>
            </w:r>
          </w:p>
          <w:p w14:paraId="235C17D9" w14:textId="77777777" w:rsidR="00E447B3" w:rsidRPr="00377266" w:rsidRDefault="00E447B3" w:rsidP="00631DF4">
            <w:pPr>
              <w:pStyle w:val="Sinespaciado"/>
              <w:numPr>
                <w:ilvl w:val="0"/>
                <w:numId w:val="25"/>
              </w:numPr>
              <w:adjustRightInd w:val="0"/>
              <w:ind w:right="4"/>
              <w:contextualSpacing/>
              <w:rPr>
                <w:rFonts w:cstheme="minorHAnsi"/>
              </w:rPr>
            </w:pPr>
            <w:r w:rsidRPr="00377266">
              <w:rPr>
                <w:rFonts w:cstheme="minorHAnsi"/>
                <w:lang w:val="es-ES"/>
              </w:rPr>
              <w:t>Los temas que más se trataron fueron</w:t>
            </w:r>
            <w:r>
              <w:rPr>
                <w:rFonts w:cstheme="minorHAnsi"/>
                <w:lang w:val="es-ES"/>
              </w:rPr>
              <w:t>: s</w:t>
            </w:r>
            <w:r w:rsidRPr="00377266">
              <w:rPr>
                <w:rFonts w:cstheme="minorHAnsi"/>
                <w:lang w:val="es-ES"/>
              </w:rPr>
              <w:t>ostenibilidad económica, educación,</w:t>
            </w:r>
            <w:r>
              <w:rPr>
                <w:rFonts w:cstheme="minorHAnsi"/>
                <w:lang w:val="es-ES"/>
              </w:rPr>
              <w:t xml:space="preserve"> </w:t>
            </w:r>
            <w:r w:rsidRPr="00377266">
              <w:rPr>
                <w:rFonts w:cstheme="minorHAnsi"/>
                <w:lang w:val="es-ES"/>
              </w:rPr>
              <w:t xml:space="preserve">salud, </w:t>
            </w:r>
            <w:r>
              <w:rPr>
                <w:rFonts w:cstheme="minorHAnsi"/>
                <w:lang w:val="es-ES"/>
              </w:rPr>
              <w:t>r</w:t>
            </w:r>
            <w:r w:rsidRPr="00377266">
              <w:rPr>
                <w:rFonts w:cstheme="minorHAnsi"/>
                <w:lang w:val="es-ES"/>
              </w:rPr>
              <w:t>eincorporación comunitaria</w:t>
            </w:r>
            <w:r>
              <w:rPr>
                <w:rFonts w:cstheme="minorHAnsi"/>
                <w:lang w:val="es-ES"/>
              </w:rPr>
              <w:t xml:space="preserve">, fortalecimiento del tejido social, fomento de la reconciliación y convivencia pacífica, </w:t>
            </w:r>
            <w:r w:rsidRPr="00377266">
              <w:rPr>
                <w:rFonts w:cstheme="minorHAnsi"/>
                <w:lang w:val="es-ES"/>
              </w:rPr>
              <w:t>habitabilidad</w:t>
            </w:r>
            <w:r>
              <w:rPr>
                <w:rFonts w:cstheme="minorHAnsi"/>
                <w:lang w:val="es-ES"/>
              </w:rPr>
              <w:t xml:space="preserve">, </w:t>
            </w:r>
            <w:r w:rsidRPr="00377266">
              <w:rPr>
                <w:rFonts w:cstheme="minorHAnsi"/>
                <w:lang w:val="es-ES"/>
              </w:rPr>
              <w:t>vivienda</w:t>
            </w:r>
            <w:r>
              <w:rPr>
                <w:rFonts w:cstheme="minorHAnsi"/>
                <w:lang w:val="es-ES"/>
              </w:rPr>
              <w:t xml:space="preserve"> e infraestructuras asociadas</w:t>
            </w:r>
            <w:r w:rsidRPr="00377266">
              <w:rPr>
                <w:rFonts w:cstheme="minorHAnsi"/>
                <w:lang w:val="es-ES"/>
              </w:rPr>
              <w:t xml:space="preserve">. </w:t>
            </w:r>
          </w:p>
          <w:p w14:paraId="1F0BAF1C" w14:textId="77777777" w:rsidR="00E447B3" w:rsidRPr="00377266" w:rsidRDefault="00E447B3" w:rsidP="00631DF4">
            <w:pPr>
              <w:pStyle w:val="Sinespaciado"/>
              <w:numPr>
                <w:ilvl w:val="0"/>
                <w:numId w:val="25"/>
              </w:numPr>
              <w:adjustRightInd w:val="0"/>
              <w:ind w:right="4"/>
              <w:contextualSpacing/>
              <w:rPr>
                <w:rFonts w:cstheme="minorHAnsi"/>
              </w:rPr>
            </w:pPr>
            <w:r w:rsidRPr="00377266">
              <w:rPr>
                <w:rFonts w:cstheme="minorHAnsi"/>
                <w:lang w:val="es-ES"/>
              </w:rPr>
              <w:t>Los CT</w:t>
            </w:r>
            <w:r>
              <w:rPr>
                <w:rFonts w:cstheme="minorHAnsi"/>
                <w:lang w:val="es-ES"/>
              </w:rPr>
              <w:t>R</w:t>
            </w:r>
            <w:r w:rsidRPr="00377266">
              <w:rPr>
                <w:rFonts w:cstheme="minorHAnsi"/>
                <w:lang w:val="es-ES"/>
              </w:rPr>
              <w:t xml:space="preserve"> que sesion</w:t>
            </w:r>
            <w:r>
              <w:rPr>
                <w:rFonts w:cstheme="minorHAnsi"/>
                <w:lang w:val="es-ES"/>
              </w:rPr>
              <w:t xml:space="preserve">aron </w:t>
            </w:r>
            <w:r w:rsidRPr="00377266">
              <w:rPr>
                <w:rFonts w:cstheme="minorHAnsi"/>
                <w:lang w:val="es-ES"/>
              </w:rPr>
              <w:t>en el periodo fueron</w:t>
            </w:r>
            <w:r>
              <w:rPr>
                <w:rFonts w:cstheme="minorHAnsi"/>
                <w:lang w:val="es-ES"/>
              </w:rPr>
              <w:t xml:space="preserve"> </w:t>
            </w:r>
            <w:r w:rsidRPr="00B3263D">
              <w:rPr>
                <w:rFonts w:cstheme="minorHAnsi"/>
                <w:lang w:val="es-ES"/>
              </w:rPr>
              <w:t>Filipinas 12 veces</w:t>
            </w:r>
            <w:r>
              <w:rPr>
                <w:rFonts w:cstheme="minorHAnsi"/>
                <w:lang w:val="es-ES"/>
              </w:rPr>
              <w:t>;</w:t>
            </w:r>
            <w:r w:rsidRPr="00B3263D">
              <w:rPr>
                <w:rFonts w:cstheme="minorHAnsi"/>
                <w:lang w:val="es-ES"/>
              </w:rPr>
              <w:t xml:space="preserve"> El Oso 11 veces</w:t>
            </w:r>
            <w:r>
              <w:rPr>
                <w:rFonts w:cstheme="minorHAnsi"/>
                <w:lang w:val="es-ES"/>
              </w:rPr>
              <w:t>;</w:t>
            </w:r>
            <w:r w:rsidRPr="00B3263D">
              <w:rPr>
                <w:rFonts w:cstheme="minorHAnsi"/>
                <w:lang w:val="es-ES"/>
              </w:rPr>
              <w:t xml:space="preserve"> La Variante 10 veces</w:t>
            </w:r>
            <w:r>
              <w:rPr>
                <w:rFonts w:cstheme="minorHAnsi"/>
                <w:lang w:val="es-ES"/>
              </w:rPr>
              <w:t>;</w:t>
            </w:r>
            <w:r w:rsidRPr="00B3263D">
              <w:rPr>
                <w:rFonts w:cstheme="minorHAnsi"/>
                <w:lang w:val="es-ES"/>
              </w:rPr>
              <w:t xml:space="preserve"> Caño Indio y La Fila 8 veces; el Estrecho 7 veces; Charras 6 veces; Caracolí, Colinas y Los Monos 5 veces; Pondores, La Pradera, Carrizal, Llano Grande, y Monterredondo 4 veces; La Guajira y La Plancha 3 veces; Agua Bonita y San José de Oriente 2 veces; La Reforma, Miravalle y Yarí 1 vez), para un promedio de 5 reuniones por CTR al año. Los CTR de Santa Lucía y La Elvira no sesionaron en 2021, pero no existe evidencia de disolución de dichas instancias (como sí ocurre con el CTR de Vidrí, ETCR cerrado por decreto desde el 2018)</w:t>
            </w:r>
            <w:r w:rsidRPr="00377266">
              <w:rPr>
                <w:rFonts w:cstheme="minorHAnsi"/>
                <w:lang w:val="es-ES"/>
              </w:rPr>
              <w:t xml:space="preserve">. </w:t>
            </w:r>
          </w:p>
          <w:p w14:paraId="1E497F65" w14:textId="77777777" w:rsidR="00E447B3" w:rsidRDefault="00E447B3" w:rsidP="00E447B3">
            <w:pPr>
              <w:rPr>
                <w:rFonts w:cs="Arial"/>
              </w:rPr>
            </w:pPr>
          </w:p>
          <w:p w14:paraId="35847918" w14:textId="456DF822" w:rsidR="00E447B3" w:rsidRPr="00F10E86" w:rsidRDefault="00E447B3" w:rsidP="009D507C">
            <w:pPr>
              <w:pStyle w:val="Prrafodelista"/>
              <w:numPr>
                <w:ilvl w:val="0"/>
                <w:numId w:val="55"/>
              </w:numPr>
              <w:jc w:val="both"/>
              <w:rPr>
                <w:rFonts w:cs="Arial"/>
              </w:rPr>
            </w:pPr>
            <w:r w:rsidRPr="00F10E86">
              <w:rPr>
                <w:rFonts w:cstheme="minorHAnsi"/>
                <w:b/>
                <w:u w:val="single"/>
                <w:lang w:val="es-ES"/>
              </w:rPr>
              <w:t>Programa de atención especial para discapacitados del conflicto con incapacidad permanente y adultos mayores, que gestione recursos de cooperación no reembolsable internacional y de instituciones no gubernamentales para su realización, creado</w:t>
            </w:r>
            <w:r w:rsidR="00F10E86" w:rsidRPr="00F10E86">
              <w:rPr>
                <w:rFonts w:cstheme="minorHAnsi"/>
                <w:b/>
                <w:u w:val="single"/>
                <w:lang w:val="es-ES"/>
              </w:rPr>
              <w:t>:</w:t>
            </w:r>
            <w:r w:rsidR="00F10E86" w:rsidRPr="00F10E86">
              <w:rPr>
                <w:rFonts w:cstheme="minorHAnsi"/>
                <w:b/>
                <w:lang w:val="es-ES"/>
              </w:rPr>
              <w:t xml:space="preserve">  </w:t>
            </w:r>
            <w:r w:rsidRPr="00F10E86">
              <w:rPr>
                <w:rFonts w:cs="Arial"/>
              </w:rPr>
              <w:t xml:space="preserve">Para la implementación de los diferentes ejes del Programa CaPAZcidades, se implementó la Submesa Capazcidades, esta submesa se entiende como un mecanismo que permite la articulación de actores institucionales y poblacionales para la gestión e implementación del programa en mención y como una instancia técnica derivada del Consejo Nacional de Reincorporación (CNR) y de la Mesa de Salud, encargada de la articulación de actores y procesos para el cumplimiento de las acciones con un alcance de nivel estratégico para orientar acciones y definir lineamientos técnicos claves de la implementación, de acuerdo con el contenido del Programa. Teniendo en cuenta lo anterior, la Submesa realizó 11 sesiones ordinarias y una </w:t>
            </w:r>
            <w:r w:rsidRPr="00F10E86">
              <w:rPr>
                <w:rFonts w:cs="Arial"/>
              </w:rPr>
              <w:lastRenderedPageBreak/>
              <w:t xml:space="preserve">extraordinaria de acuerdo con el contenido del programa Capazcidades, donde participaron: </w:t>
            </w:r>
          </w:p>
          <w:p w14:paraId="36264F6F" w14:textId="64FCCB74" w:rsidR="00E447B3" w:rsidRDefault="00E447B3" w:rsidP="00E447B3">
            <w:pPr>
              <w:rPr>
                <w:rFonts w:cs="Arial"/>
              </w:rPr>
            </w:pPr>
          </w:p>
          <w:p w14:paraId="76C21443" w14:textId="77777777" w:rsidR="00E447B3" w:rsidRDefault="00E447B3" w:rsidP="00E447B3">
            <w:pPr>
              <w:rPr>
                <w:rFonts w:cs="Arial"/>
                <w:b/>
              </w:rPr>
            </w:pPr>
            <w:r w:rsidRPr="002654AE">
              <w:rPr>
                <w:rFonts w:cs="Arial"/>
                <w:b/>
              </w:rPr>
              <w:t>Parte 1. Sectores públicos de gobierno</w:t>
            </w:r>
          </w:p>
          <w:p w14:paraId="0E903E5C" w14:textId="77777777" w:rsidR="00E447B3" w:rsidRPr="002654AE" w:rsidRDefault="00E447B3" w:rsidP="00E447B3">
            <w:pPr>
              <w:rPr>
                <w:rFonts w:cs="Arial"/>
                <w:b/>
              </w:rPr>
            </w:pPr>
          </w:p>
          <w:p w14:paraId="4EB5182D" w14:textId="77777777" w:rsidR="00E447B3" w:rsidRDefault="00E447B3" w:rsidP="00E447B3">
            <w:pPr>
              <w:rPr>
                <w:rFonts w:cs="Arial"/>
              </w:rPr>
            </w:pPr>
            <w:r w:rsidRPr="002654AE">
              <w:rPr>
                <w:rFonts w:cs="Arial"/>
              </w:rPr>
              <w:t xml:space="preserve">• </w:t>
            </w:r>
            <w:r>
              <w:rPr>
                <w:rFonts w:cs="Arial"/>
              </w:rPr>
              <w:t>Delegados</w:t>
            </w:r>
            <w:r w:rsidRPr="002654AE">
              <w:rPr>
                <w:rFonts w:cs="Arial"/>
              </w:rPr>
              <w:t xml:space="preserve"> del Ministerio de Salud y Protección Social para gestión en discapacidad, envejecimiento y vejez, alto costo</w:t>
            </w:r>
            <w:r>
              <w:rPr>
                <w:rFonts w:cs="Arial"/>
              </w:rPr>
              <w:t>, de acuerdo al tema a tratar</w:t>
            </w:r>
            <w:r w:rsidRPr="002654AE">
              <w:rPr>
                <w:rFonts w:cs="Arial"/>
              </w:rPr>
              <w:t>.</w:t>
            </w:r>
          </w:p>
          <w:p w14:paraId="146D5E80" w14:textId="77777777" w:rsidR="00E447B3" w:rsidRDefault="00E447B3" w:rsidP="00E447B3">
            <w:pPr>
              <w:rPr>
                <w:rFonts w:cs="Arial"/>
              </w:rPr>
            </w:pPr>
            <w:r w:rsidRPr="002654AE">
              <w:rPr>
                <w:rFonts w:cs="Arial"/>
              </w:rPr>
              <w:t xml:space="preserve">• </w:t>
            </w:r>
            <w:r>
              <w:rPr>
                <w:rFonts w:cs="Arial"/>
              </w:rPr>
              <w:t>Delegados</w:t>
            </w:r>
            <w:r w:rsidRPr="002654AE">
              <w:rPr>
                <w:rFonts w:cs="Arial"/>
              </w:rPr>
              <w:t xml:space="preserve"> de la ARN para gestión en discapacidad, envejecimiento y vejez, alto costo, </w:t>
            </w:r>
            <w:r>
              <w:rPr>
                <w:rFonts w:cs="Arial"/>
              </w:rPr>
              <w:t>de acuerdo al tema a tratar</w:t>
            </w:r>
            <w:r w:rsidRPr="002654AE">
              <w:rPr>
                <w:rFonts w:cs="Arial"/>
              </w:rPr>
              <w:t>.</w:t>
            </w:r>
          </w:p>
          <w:p w14:paraId="42CF1A69" w14:textId="77777777" w:rsidR="00E447B3" w:rsidRPr="002654AE" w:rsidRDefault="00E447B3" w:rsidP="00E447B3">
            <w:pPr>
              <w:rPr>
                <w:rFonts w:cs="Arial"/>
              </w:rPr>
            </w:pPr>
          </w:p>
          <w:p w14:paraId="1E34F3AE" w14:textId="77777777" w:rsidR="00E447B3" w:rsidRDefault="00E447B3" w:rsidP="00E447B3">
            <w:pPr>
              <w:rPr>
                <w:rFonts w:cs="Arial"/>
                <w:b/>
              </w:rPr>
            </w:pPr>
            <w:r w:rsidRPr="002654AE">
              <w:rPr>
                <w:rFonts w:cs="Arial"/>
                <w:b/>
              </w:rPr>
              <w:t>Parte 2. Colectivo exintegrante colectivo Farc</w:t>
            </w:r>
            <w:r>
              <w:rPr>
                <w:rFonts w:cs="Arial"/>
                <w:b/>
              </w:rPr>
              <w:t>.</w:t>
            </w:r>
          </w:p>
          <w:p w14:paraId="70752343" w14:textId="77777777" w:rsidR="00E447B3" w:rsidRPr="002654AE" w:rsidRDefault="00E447B3" w:rsidP="00E447B3">
            <w:pPr>
              <w:rPr>
                <w:rFonts w:cs="Arial"/>
                <w:b/>
              </w:rPr>
            </w:pPr>
          </w:p>
          <w:p w14:paraId="58D6C55D" w14:textId="77777777" w:rsidR="00E447B3" w:rsidRDefault="00E447B3" w:rsidP="00631DF4">
            <w:pPr>
              <w:pStyle w:val="Prrafodelista"/>
              <w:numPr>
                <w:ilvl w:val="0"/>
                <w:numId w:val="27"/>
              </w:numPr>
              <w:ind w:left="176" w:hanging="141"/>
              <w:rPr>
                <w:rFonts w:cs="Arial"/>
              </w:rPr>
            </w:pPr>
            <w:r w:rsidRPr="002654AE">
              <w:rPr>
                <w:rFonts w:cs="Arial"/>
              </w:rPr>
              <w:t>Dos delegad</w:t>
            </w:r>
            <w:r>
              <w:rPr>
                <w:rFonts w:cs="Arial"/>
              </w:rPr>
              <w:t>o</w:t>
            </w:r>
            <w:r w:rsidRPr="002654AE">
              <w:rPr>
                <w:rFonts w:cs="Arial"/>
              </w:rPr>
              <w:t>s de componente Farc (ahora Comunes) del C</w:t>
            </w:r>
            <w:r>
              <w:rPr>
                <w:rFonts w:cs="Arial"/>
              </w:rPr>
              <w:t xml:space="preserve">onsejo </w:t>
            </w:r>
            <w:r w:rsidRPr="002654AE">
              <w:rPr>
                <w:rFonts w:cs="Arial"/>
              </w:rPr>
              <w:t>N</w:t>
            </w:r>
            <w:r>
              <w:rPr>
                <w:rFonts w:cs="Arial"/>
              </w:rPr>
              <w:t xml:space="preserve">acional de </w:t>
            </w:r>
            <w:r w:rsidRPr="002654AE">
              <w:rPr>
                <w:rFonts w:cs="Arial"/>
              </w:rPr>
              <w:t>R</w:t>
            </w:r>
            <w:r>
              <w:rPr>
                <w:rFonts w:cs="Arial"/>
              </w:rPr>
              <w:t>eincorporación.</w:t>
            </w:r>
          </w:p>
          <w:p w14:paraId="425E5CB9" w14:textId="77777777" w:rsidR="00E447B3" w:rsidRPr="002654AE" w:rsidRDefault="00E447B3" w:rsidP="00631DF4">
            <w:pPr>
              <w:pStyle w:val="Prrafodelista"/>
              <w:numPr>
                <w:ilvl w:val="0"/>
                <w:numId w:val="27"/>
              </w:numPr>
              <w:ind w:left="176" w:hanging="141"/>
              <w:rPr>
                <w:rFonts w:cs="Arial"/>
              </w:rPr>
            </w:pPr>
            <w:r w:rsidRPr="002654AE">
              <w:rPr>
                <w:rFonts w:cs="Arial"/>
              </w:rPr>
              <w:t>Tres delegad</w:t>
            </w:r>
            <w:r>
              <w:rPr>
                <w:rFonts w:cs="Arial"/>
              </w:rPr>
              <w:t>o</w:t>
            </w:r>
            <w:r w:rsidRPr="002654AE">
              <w:rPr>
                <w:rFonts w:cs="Arial"/>
              </w:rPr>
              <w:t>s de población con discapacidad, adulta mayor y con enfermedades de alto costo</w:t>
            </w:r>
            <w:r>
              <w:rPr>
                <w:rFonts w:cs="Arial"/>
              </w:rPr>
              <w:t>.</w:t>
            </w:r>
          </w:p>
          <w:p w14:paraId="3917FA2D" w14:textId="77777777" w:rsidR="00E447B3" w:rsidRPr="002654AE" w:rsidRDefault="00E447B3" w:rsidP="00E447B3">
            <w:pPr>
              <w:pStyle w:val="Prrafodelista"/>
              <w:rPr>
                <w:rFonts w:cs="Arial"/>
              </w:rPr>
            </w:pPr>
          </w:p>
          <w:p w14:paraId="67E5696F" w14:textId="77777777" w:rsidR="00E447B3" w:rsidRDefault="00E447B3" w:rsidP="00E447B3">
            <w:pPr>
              <w:rPr>
                <w:rFonts w:cs="Arial"/>
              </w:rPr>
            </w:pPr>
            <w:r>
              <w:rPr>
                <w:rFonts w:cs="Arial"/>
              </w:rPr>
              <w:t>L</w:t>
            </w:r>
            <w:r w:rsidRPr="002654AE">
              <w:rPr>
                <w:rFonts w:cs="Arial"/>
              </w:rPr>
              <w:t xml:space="preserve">as personas que representan a la población </w:t>
            </w:r>
            <w:r>
              <w:rPr>
                <w:rFonts w:cs="Arial"/>
              </w:rPr>
              <w:t>en discapacidad son 3</w:t>
            </w:r>
            <w:r w:rsidRPr="002654AE">
              <w:rPr>
                <w:rFonts w:cs="Arial"/>
              </w:rPr>
              <w:t xml:space="preserve">, quienes han sido elegidas por </w:t>
            </w:r>
            <w:r w:rsidRPr="002E2312">
              <w:rPr>
                <w:rFonts w:cs="Arial"/>
              </w:rPr>
              <w:t>Asociación Comité Nacional de Excombatientes Lisiados de Guerra, Adulto Mayor Y</w:t>
            </w:r>
            <w:r>
              <w:rPr>
                <w:rFonts w:cs="Arial"/>
              </w:rPr>
              <w:t xml:space="preserve"> </w:t>
            </w:r>
            <w:r w:rsidRPr="002E2312">
              <w:rPr>
                <w:rFonts w:cs="Arial"/>
              </w:rPr>
              <w:t xml:space="preserve">Enfermedades de Alto Costo </w:t>
            </w:r>
            <w:r>
              <w:rPr>
                <w:rFonts w:cs="Arial"/>
              </w:rPr>
              <w:t>(</w:t>
            </w:r>
            <w:r w:rsidRPr="002654AE">
              <w:rPr>
                <w:rFonts w:cs="Arial"/>
              </w:rPr>
              <w:t>CONELAEC</w:t>
            </w:r>
            <w:r>
              <w:rPr>
                <w:rFonts w:cs="Arial"/>
              </w:rPr>
              <w:t>)</w:t>
            </w:r>
            <w:r w:rsidRPr="002654AE">
              <w:rPr>
                <w:rFonts w:cs="Arial"/>
              </w:rPr>
              <w:t xml:space="preserve"> de manera autónoma como delegados con voz y voto en esta instancia. Adicional</w:t>
            </w:r>
            <w:r>
              <w:rPr>
                <w:rFonts w:cs="Arial"/>
              </w:rPr>
              <w:t>,</w:t>
            </w:r>
            <w:r w:rsidRPr="002654AE">
              <w:rPr>
                <w:rFonts w:cs="Arial"/>
              </w:rPr>
              <w:t xml:space="preserve"> la submesa cuenta con la Misión de Verificación de la ONU como invitada p</w:t>
            </w:r>
            <w:r>
              <w:rPr>
                <w:rFonts w:cs="Arial"/>
              </w:rPr>
              <w:t>e</w:t>
            </w:r>
            <w:r w:rsidRPr="002654AE">
              <w:rPr>
                <w:rFonts w:cs="Arial"/>
              </w:rPr>
              <w:t>rm</w:t>
            </w:r>
            <w:r>
              <w:rPr>
                <w:rFonts w:cs="Arial"/>
              </w:rPr>
              <w:t>an</w:t>
            </w:r>
            <w:r w:rsidRPr="002654AE">
              <w:rPr>
                <w:rFonts w:cs="Arial"/>
              </w:rPr>
              <w:t>ente</w:t>
            </w:r>
            <w:r>
              <w:rPr>
                <w:rFonts w:cs="Arial"/>
              </w:rPr>
              <w:t xml:space="preserve">. </w:t>
            </w:r>
            <w:r w:rsidRPr="002654AE">
              <w:rPr>
                <w:rFonts w:cs="Arial"/>
              </w:rPr>
              <w:t xml:space="preserve"> </w:t>
            </w:r>
          </w:p>
          <w:p w14:paraId="670AC667" w14:textId="77777777" w:rsidR="00E447B3" w:rsidRPr="002654AE" w:rsidRDefault="00E447B3" w:rsidP="00E447B3">
            <w:pPr>
              <w:rPr>
                <w:rFonts w:cs="Arial"/>
              </w:rPr>
            </w:pPr>
          </w:p>
          <w:p w14:paraId="03EC5762" w14:textId="1942B4E3" w:rsidR="00623C90" w:rsidRDefault="00E447B3" w:rsidP="00E447B3">
            <w:pPr>
              <w:jc w:val="both"/>
              <w:rPr>
                <w:sz w:val="24"/>
                <w:szCs w:val="24"/>
              </w:rPr>
            </w:pPr>
            <w:r w:rsidRPr="002654AE">
              <w:rPr>
                <w:rFonts w:cs="Arial"/>
              </w:rPr>
              <w:t xml:space="preserve">En el 2021 la mesa construyó y realizó el seguimiento a la ejecución del plan de implementación del programa del año </w:t>
            </w:r>
            <w:r w:rsidRPr="003B2E04">
              <w:rPr>
                <w:rFonts w:cs="Arial"/>
              </w:rPr>
              <w:t>2021</w:t>
            </w:r>
            <w:r w:rsidRPr="002654AE">
              <w:rPr>
                <w:rFonts w:cs="Arial"/>
              </w:rPr>
              <w:t xml:space="preserve">, el cual se concentró en acciones de alistamiento institucional y gestión de recursos para poder financiar las acciones contenidas en el programa </w:t>
            </w:r>
            <w:r>
              <w:rPr>
                <w:rFonts w:cs="Arial"/>
              </w:rPr>
              <w:t xml:space="preserve">para </w:t>
            </w:r>
            <w:r w:rsidRPr="002654AE">
              <w:rPr>
                <w:rFonts w:cs="Arial"/>
              </w:rPr>
              <w:t>el año 2022</w:t>
            </w:r>
            <w:r>
              <w:rPr>
                <w:rFonts w:cs="Arial"/>
              </w:rPr>
              <w:t>.</w:t>
            </w:r>
          </w:p>
        </w:tc>
      </w:tr>
      <w:tr w:rsidR="00623C90" w14:paraId="6C1EC7D7"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7D43E529" w14:textId="77777777" w:rsidR="00623C90" w:rsidRDefault="00623C90" w:rsidP="00623C90">
            <w:pPr>
              <w:jc w:val="center"/>
              <w:rPr>
                <w:sz w:val="24"/>
                <w:szCs w:val="24"/>
              </w:rPr>
            </w:pPr>
            <w:r>
              <w:rPr>
                <w:noProof/>
                <w:lang w:eastAsia="es-CO"/>
              </w:rPr>
              <w:lastRenderedPageBreak/>
              <w:drawing>
                <wp:inline distT="0" distB="0" distL="0" distR="0" wp14:anchorId="5500988B" wp14:editId="12E8FCD1">
                  <wp:extent cx="923925" cy="8001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30BB4E9B" w14:textId="77777777" w:rsidR="00623C90" w:rsidRDefault="00623C90" w:rsidP="00623C90">
            <w:pPr>
              <w:jc w:val="both"/>
              <w:rPr>
                <w:color w:val="002060"/>
                <w:sz w:val="28"/>
                <w:szCs w:val="28"/>
              </w:rPr>
            </w:pPr>
            <w:r>
              <w:rPr>
                <w:color w:val="002060"/>
                <w:sz w:val="28"/>
                <w:szCs w:val="28"/>
              </w:rPr>
              <w:t>¿Quiénes se beneficiaron?</w:t>
            </w:r>
          </w:p>
          <w:p w14:paraId="134F2BCE" w14:textId="77777777" w:rsidR="00E447B3" w:rsidRDefault="00E447B3" w:rsidP="00E447B3">
            <w:pPr>
              <w:jc w:val="both"/>
              <w:rPr>
                <w:i/>
                <w:sz w:val="24"/>
                <w:szCs w:val="24"/>
              </w:rPr>
            </w:pPr>
          </w:p>
          <w:p w14:paraId="5F502ADE" w14:textId="77777777" w:rsidR="00E447B3" w:rsidRDefault="00E447B3" w:rsidP="00631DF4">
            <w:pPr>
              <w:pStyle w:val="Prrafodelista"/>
              <w:numPr>
                <w:ilvl w:val="0"/>
                <w:numId w:val="28"/>
              </w:numPr>
              <w:rPr>
                <w:rFonts w:cstheme="minorHAnsi"/>
              </w:rPr>
            </w:pPr>
            <w:r w:rsidRPr="00541049">
              <w:rPr>
                <w:rFonts w:cstheme="minorHAnsi"/>
                <w:b/>
                <w:i/>
                <w:u w:val="single"/>
              </w:rPr>
              <w:t>Porcentaje de miembros de FARC-EP acreditados y que voluntariamente acceden a la ruta reincorporación con todas las medidas de la reincorporación económica y social sostenible</w:t>
            </w:r>
            <w:r w:rsidRPr="009137C0">
              <w:rPr>
                <w:rFonts w:cstheme="minorHAnsi"/>
              </w:rPr>
              <w:t xml:space="preserve">, fueron atendidos </w:t>
            </w:r>
            <w:r w:rsidRPr="007D1B10">
              <w:rPr>
                <w:rFonts w:cstheme="minorHAnsi"/>
              </w:rPr>
              <w:t>11.</w:t>
            </w:r>
            <w:r>
              <w:rPr>
                <w:rFonts w:cstheme="minorHAnsi"/>
              </w:rPr>
              <w:t>395</w:t>
            </w:r>
            <w:r w:rsidRPr="009137C0">
              <w:rPr>
                <w:rFonts w:cstheme="minorHAnsi"/>
              </w:rPr>
              <w:t xml:space="preserve"> personas a diciembre de 202</w:t>
            </w:r>
            <w:r>
              <w:rPr>
                <w:rFonts w:cstheme="minorHAnsi"/>
              </w:rPr>
              <w:t>1</w:t>
            </w:r>
            <w:r w:rsidRPr="009137C0">
              <w:rPr>
                <w:rFonts w:cstheme="minorHAnsi"/>
              </w:rPr>
              <w:t>, discriminados así: 2.9</w:t>
            </w:r>
            <w:r>
              <w:rPr>
                <w:rFonts w:cstheme="minorHAnsi"/>
              </w:rPr>
              <w:t>9</w:t>
            </w:r>
            <w:r w:rsidRPr="009137C0">
              <w:rPr>
                <w:rFonts w:cstheme="minorHAnsi"/>
              </w:rPr>
              <w:t>8 mujeres, 8.</w:t>
            </w:r>
            <w:r>
              <w:rPr>
                <w:rFonts w:cstheme="minorHAnsi"/>
              </w:rPr>
              <w:t>397</w:t>
            </w:r>
            <w:r w:rsidRPr="009137C0">
              <w:rPr>
                <w:rFonts w:cstheme="minorHAnsi"/>
              </w:rPr>
              <w:t xml:space="preserve"> son</w:t>
            </w:r>
            <w:r w:rsidRPr="009137C0">
              <w:rPr>
                <w:rFonts w:cstheme="minorHAnsi"/>
                <w:sz w:val="24"/>
                <w:szCs w:val="24"/>
              </w:rPr>
              <w:t xml:space="preserve"> </w:t>
            </w:r>
            <w:r w:rsidRPr="009137C0">
              <w:rPr>
                <w:rFonts w:cstheme="minorHAnsi"/>
              </w:rPr>
              <w:t>hombres</w:t>
            </w:r>
            <w:r>
              <w:rPr>
                <w:rFonts w:cstheme="minorHAnsi"/>
              </w:rPr>
              <w:t>.</w:t>
            </w:r>
            <w:r w:rsidRPr="009137C0">
              <w:rPr>
                <w:rFonts w:cstheme="minorHAnsi"/>
              </w:rPr>
              <w:t xml:space="preserve"> </w:t>
            </w:r>
          </w:p>
          <w:p w14:paraId="218966DC" w14:textId="77777777" w:rsidR="00E447B3" w:rsidRDefault="00E447B3" w:rsidP="00E447B3">
            <w:pPr>
              <w:pStyle w:val="Prrafodelista"/>
              <w:rPr>
                <w:rFonts w:cstheme="minorHAnsi"/>
                <w:b/>
              </w:rPr>
            </w:pPr>
          </w:p>
          <w:p w14:paraId="4C9B6747" w14:textId="77A4E32A" w:rsidR="00E447B3" w:rsidRPr="00F10E86" w:rsidRDefault="00E447B3" w:rsidP="009D507C">
            <w:pPr>
              <w:pStyle w:val="Prrafodelista"/>
              <w:numPr>
                <w:ilvl w:val="0"/>
                <w:numId w:val="28"/>
              </w:numPr>
              <w:rPr>
                <w:rFonts w:cstheme="minorHAnsi"/>
              </w:rPr>
            </w:pPr>
            <w:r w:rsidRPr="00F10E86">
              <w:rPr>
                <w:rFonts w:cstheme="minorHAnsi"/>
                <w:b/>
                <w:u w:val="single"/>
              </w:rPr>
              <w:t>Consejos Territoriales De Reincorporación</w:t>
            </w:r>
            <w:r w:rsidR="00F10E86" w:rsidRPr="00F10E86">
              <w:rPr>
                <w:rFonts w:cstheme="minorHAnsi"/>
                <w:b/>
                <w:u w:val="single"/>
              </w:rPr>
              <w:t>:</w:t>
            </w:r>
            <w:r w:rsidR="00F10E86" w:rsidRPr="00F10E86">
              <w:rPr>
                <w:rFonts w:cstheme="minorHAnsi"/>
                <w:b/>
              </w:rPr>
              <w:t xml:space="preserve"> </w:t>
            </w:r>
            <w:r w:rsidRPr="00F10E86">
              <w:rPr>
                <w:rFonts w:cstheme="minorHAnsi"/>
              </w:rPr>
              <w:t>Se beneficiaron las 2.378 personas en reincorporación que se encuentran en los antiguos Espacios Territoriales de Capacitación y Reincorporación-ETCR.</w:t>
            </w:r>
          </w:p>
          <w:p w14:paraId="00D5E21E" w14:textId="77777777" w:rsidR="00E447B3" w:rsidRDefault="00E447B3" w:rsidP="00E447B3">
            <w:pPr>
              <w:rPr>
                <w:i/>
                <w:sz w:val="24"/>
                <w:szCs w:val="24"/>
              </w:rPr>
            </w:pPr>
          </w:p>
          <w:p w14:paraId="28504BC7" w14:textId="77777777" w:rsidR="00E447B3" w:rsidRPr="00541049" w:rsidRDefault="00E447B3" w:rsidP="00631DF4">
            <w:pPr>
              <w:pStyle w:val="Prrafodelista"/>
              <w:numPr>
                <w:ilvl w:val="0"/>
                <w:numId w:val="28"/>
              </w:numPr>
              <w:rPr>
                <w:rFonts w:cstheme="minorHAnsi"/>
                <w:b/>
                <w:u w:val="single"/>
                <w:lang w:val="es-ES"/>
              </w:rPr>
            </w:pPr>
            <w:r w:rsidRPr="00541049">
              <w:rPr>
                <w:rFonts w:cstheme="minorHAnsi"/>
                <w:b/>
                <w:u w:val="single"/>
                <w:lang w:val="es-ES"/>
              </w:rPr>
              <w:t>Programa de atención especial para discapacitados del conflicto con incapacidad permanente y adultos mayores, que gestione recursos de cooperación no reembolsable internacional y de instituciones no gubernamentales para su realización, creado</w:t>
            </w:r>
          </w:p>
          <w:p w14:paraId="2B77D196" w14:textId="77777777" w:rsidR="00E447B3" w:rsidRDefault="00E447B3" w:rsidP="00E447B3">
            <w:pPr>
              <w:jc w:val="both"/>
              <w:rPr>
                <w:i/>
                <w:sz w:val="24"/>
                <w:szCs w:val="24"/>
              </w:rPr>
            </w:pPr>
          </w:p>
          <w:p w14:paraId="2EB020A0" w14:textId="77777777" w:rsidR="00E447B3" w:rsidRDefault="00E447B3" w:rsidP="00E447B3">
            <w:r w:rsidRPr="00133329">
              <w:lastRenderedPageBreak/>
              <w:t xml:space="preserve">La población </w:t>
            </w:r>
            <w:r>
              <w:t>o</w:t>
            </w:r>
            <w:r w:rsidRPr="00133329">
              <w:t xml:space="preserve">bjetivo del programa son las personas en reincorporación con discapacidad, adultas mayores o con enfermedades de alto costo, que asciende de acuerdo con la línea de base del </w:t>
            </w:r>
            <w:r>
              <w:t>P</w:t>
            </w:r>
            <w:r w:rsidRPr="00133329">
              <w:t>rograma</w:t>
            </w:r>
            <w:r>
              <w:t xml:space="preserve"> </w:t>
            </w:r>
            <w:r w:rsidRPr="00133329">
              <w:t>a 1</w:t>
            </w:r>
            <w:r>
              <w:t>.</w:t>
            </w:r>
            <w:r w:rsidRPr="00133329">
              <w:t xml:space="preserve">997 personas. Las personas beneficiarias del año 2021 </w:t>
            </w:r>
            <w:r w:rsidRPr="00125B6A">
              <w:t>fueron 1.203, quienes</w:t>
            </w:r>
            <w:r w:rsidRPr="00133329">
              <w:t xml:space="preserve"> fueron beneficiarias </w:t>
            </w:r>
            <w:r>
              <w:t>mediante</w:t>
            </w:r>
            <w:r w:rsidRPr="00133329">
              <w:t xml:space="preserve"> obtención del certificado de discapacidad</w:t>
            </w:r>
            <w:r>
              <w:t>.</w:t>
            </w:r>
          </w:p>
          <w:p w14:paraId="35E07401" w14:textId="77777777" w:rsidR="00E447B3" w:rsidRDefault="00E447B3" w:rsidP="00E447B3"/>
          <w:tbl>
            <w:tblPr>
              <w:tblStyle w:val="Tablaconcuadrcula"/>
              <w:tblW w:w="0" w:type="auto"/>
              <w:jc w:val="center"/>
              <w:tblLook w:val="04A0" w:firstRow="1" w:lastRow="0" w:firstColumn="1" w:lastColumn="0" w:noHBand="0" w:noVBand="1"/>
            </w:tblPr>
            <w:tblGrid>
              <w:gridCol w:w="4219"/>
              <w:gridCol w:w="1134"/>
              <w:gridCol w:w="1516"/>
            </w:tblGrid>
            <w:tr w:rsidR="00E447B3" w:rsidRPr="00377266" w14:paraId="4814BCB9" w14:textId="77777777" w:rsidTr="00715628">
              <w:trPr>
                <w:trHeight w:val="217"/>
                <w:jc w:val="center"/>
              </w:trPr>
              <w:tc>
                <w:tcPr>
                  <w:tcW w:w="4219" w:type="dxa"/>
                  <w:shd w:val="clear" w:color="auto" w:fill="BFBFBF" w:themeFill="background1" w:themeFillShade="BF"/>
                  <w:vAlign w:val="center"/>
                  <w:hideMark/>
                </w:tcPr>
                <w:p w14:paraId="7ECF0C56" w14:textId="77777777" w:rsidR="00E447B3" w:rsidRPr="00377266" w:rsidRDefault="00E447B3" w:rsidP="00E447B3">
                  <w:pPr>
                    <w:rPr>
                      <w:rFonts w:eastAsia="Times New Roman" w:cstheme="minorHAnsi"/>
                      <w:b/>
                      <w:bCs/>
                      <w:lang w:eastAsia="es-CO"/>
                    </w:rPr>
                  </w:pPr>
                  <w:r w:rsidRPr="00377266">
                    <w:rPr>
                      <w:rFonts w:eastAsia="Times New Roman" w:cstheme="minorHAnsi"/>
                      <w:b/>
                      <w:bCs/>
                      <w:lang w:eastAsia="es-CO"/>
                    </w:rPr>
                    <w:t xml:space="preserve">TIPOLOGÍAS DE LA POBLACIÓN CAPAZCIDADES </w:t>
                  </w:r>
                </w:p>
              </w:tc>
              <w:tc>
                <w:tcPr>
                  <w:tcW w:w="1134" w:type="dxa"/>
                  <w:shd w:val="clear" w:color="auto" w:fill="BFBFBF" w:themeFill="background1" w:themeFillShade="BF"/>
                  <w:vAlign w:val="center"/>
                  <w:hideMark/>
                </w:tcPr>
                <w:p w14:paraId="681929CA" w14:textId="77777777" w:rsidR="00E447B3" w:rsidRPr="00377266" w:rsidRDefault="00E447B3" w:rsidP="00E447B3">
                  <w:pPr>
                    <w:rPr>
                      <w:rFonts w:eastAsia="Times New Roman" w:cstheme="minorHAnsi"/>
                      <w:b/>
                      <w:bCs/>
                      <w:lang w:eastAsia="es-CO"/>
                    </w:rPr>
                  </w:pPr>
                  <w:r w:rsidRPr="00377266">
                    <w:rPr>
                      <w:rFonts w:eastAsia="Times New Roman" w:cstheme="minorHAnsi"/>
                      <w:b/>
                      <w:bCs/>
                      <w:lang w:eastAsia="es-CO"/>
                    </w:rPr>
                    <w:t> </w:t>
                  </w:r>
                  <w:r>
                    <w:rPr>
                      <w:rFonts w:eastAsia="Times New Roman" w:cstheme="minorHAnsi"/>
                      <w:b/>
                      <w:bCs/>
                      <w:lang w:eastAsia="es-CO"/>
                    </w:rPr>
                    <w:t>Línea Base</w:t>
                  </w:r>
                  <w:r w:rsidRPr="00377266">
                    <w:rPr>
                      <w:rFonts w:eastAsia="Times New Roman" w:cstheme="minorHAnsi"/>
                      <w:b/>
                      <w:bCs/>
                      <w:lang w:eastAsia="es-CO"/>
                    </w:rPr>
                    <w:t xml:space="preserve"> </w:t>
                  </w:r>
                </w:p>
              </w:tc>
              <w:tc>
                <w:tcPr>
                  <w:tcW w:w="1516" w:type="dxa"/>
                  <w:shd w:val="clear" w:color="auto" w:fill="BFBFBF" w:themeFill="background1" w:themeFillShade="BF"/>
                  <w:vAlign w:val="center"/>
                </w:tcPr>
                <w:p w14:paraId="28650F9D" w14:textId="77777777" w:rsidR="00E447B3" w:rsidRPr="00377266" w:rsidRDefault="00E447B3" w:rsidP="00E447B3">
                  <w:pPr>
                    <w:rPr>
                      <w:rFonts w:eastAsia="Times New Roman" w:cstheme="minorHAnsi"/>
                      <w:b/>
                      <w:bCs/>
                      <w:lang w:eastAsia="es-CO"/>
                    </w:rPr>
                  </w:pPr>
                  <w:r>
                    <w:rPr>
                      <w:rFonts w:eastAsia="Times New Roman" w:cstheme="minorHAnsi"/>
                      <w:b/>
                      <w:bCs/>
                      <w:lang w:eastAsia="es-CO"/>
                    </w:rPr>
                    <w:t>Personas atendidas 2021</w:t>
                  </w:r>
                </w:p>
              </w:tc>
            </w:tr>
            <w:tr w:rsidR="00E447B3" w:rsidRPr="00377266" w14:paraId="4670738E" w14:textId="77777777" w:rsidTr="00715628">
              <w:trPr>
                <w:trHeight w:val="158"/>
                <w:jc w:val="center"/>
              </w:trPr>
              <w:tc>
                <w:tcPr>
                  <w:tcW w:w="4219" w:type="dxa"/>
                  <w:shd w:val="clear" w:color="auto" w:fill="FFFFFF" w:themeFill="background1"/>
                  <w:vAlign w:val="center"/>
                  <w:hideMark/>
                </w:tcPr>
                <w:p w14:paraId="5E98D202" w14:textId="77777777" w:rsidR="00E447B3" w:rsidRPr="00377266" w:rsidRDefault="00E447B3" w:rsidP="00E447B3">
                  <w:pPr>
                    <w:rPr>
                      <w:rFonts w:cstheme="minorHAnsi"/>
                      <w:color w:val="000000" w:themeColor="text1"/>
                    </w:rPr>
                  </w:pPr>
                  <w:r w:rsidRPr="00377266">
                    <w:rPr>
                      <w:rFonts w:cstheme="minorHAnsi"/>
                      <w:color w:val="000000" w:themeColor="text1"/>
                    </w:rPr>
                    <w:t>Solo P. Discapacidad</w:t>
                  </w:r>
                </w:p>
              </w:tc>
              <w:tc>
                <w:tcPr>
                  <w:tcW w:w="1134" w:type="dxa"/>
                  <w:shd w:val="clear" w:color="auto" w:fill="FFFFFF" w:themeFill="background1"/>
                  <w:noWrap/>
                  <w:vAlign w:val="bottom"/>
                  <w:hideMark/>
                </w:tcPr>
                <w:p w14:paraId="27BD7789"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1.04</w:t>
                  </w:r>
                  <w:r>
                    <w:rPr>
                      <w:rFonts w:cstheme="minorHAnsi"/>
                      <w:color w:val="000000" w:themeColor="text1"/>
                      <w:sz w:val="20"/>
                      <w:szCs w:val="20"/>
                    </w:rPr>
                    <w:t>1</w:t>
                  </w:r>
                </w:p>
              </w:tc>
              <w:tc>
                <w:tcPr>
                  <w:tcW w:w="1516" w:type="dxa"/>
                  <w:shd w:val="clear" w:color="auto" w:fill="FFFFFF" w:themeFill="background1"/>
                  <w:vAlign w:val="bottom"/>
                </w:tcPr>
                <w:p w14:paraId="2A9F9052" w14:textId="77777777" w:rsidR="00E447B3" w:rsidRPr="0003607A" w:rsidRDefault="00E447B3" w:rsidP="00E447B3">
                  <w:pPr>
                    <w:jc w:val="center"/>
                    <w:rPr>
                      <w:rFonts w:cstheme="minorHAnsi"/>
                      <w:sz w:val="20"/>
                      <w:szCs w:val="20"/>
                    </w:rPr>
                  </w:pPr>
                  <w:r w:rsidRPr="0003607A">
                    <w:rPr>
                      <w:rFonts w:cstheme="minorHAnsi"/>
                      <w:sz w:val="20"/>
                      <w:szCs w:val="20"/>
                    </w:rPr>
                    <w:t>1041</w:t>
                  </w:r>
                </w:p>
              </w:tc>
            </w:tr>
            <w:tr w:rsidR="00E447B3" w:rsidRPr="00377266" w14:paraId="36A7A4C5" w14:textId="77777777" w:rsidTr="00715628">
              <w:trPr>
                <w:trHeight w:val="48"/>
                <w:jc w:val="center"/>
              </w:trPr>
              <w:tc>
                <w:tcPr>
                  <w:tcW w:w="4219" w:type="dxa"/>
                  <w:shd w:val="clear" w:color="auto" w:fill="FFFFFF" w:themeFill="background1"/>
                  <w:vAlign w:val="center"/>
                  <w:hideMark/>
                </w:tcPr>
                <w:p w14:paraId="630DD94A" w14:textId="77777777" w:rsidR="00E447B3" w:rsidRPr="00377266" w:rsidRDefault="00E447B3" w:rsidP="00E447B3">
                  <w:pPr>
                    <w:rPr>
                      <w:rFonts w:cstheme="minorHAnsi"/>
                      <w:color w:val="000000" w:themeColor="text1"/>
                    </w:rPr>
                  </w:pPr>
                  <w:r w:rsidRPr="00377266">
                    <w:rPr>
                      <w:rFonts w:cstheme="minorHAnsi"/>
                      <w:color w:val="000000" w:themeColor="text1"/>
                    </w:rPr>
                    <w:t>Solo P. Adultas Mayores</w:t>
                  </w:r>
                </w:p>
              </w:tc>
              <w:tc>
                <w:tcPr>
                  <w:tcW w:w="1134" w:type="dxa"/>
                  <w:shd w:val="clear" w:color="auto" w:fill="FFFFFF" w:themeFill="background1"/>
                  <w:noWrap/>
                  <w:vAlign w:val="bottom"/>
                  <w:hideMark/>
                </w:tcPr>
                <w:p w14:paraId="2555C965"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547</w:t>
                  </w:r>
                </w:p>
              </w:tc>
              <w:tc>
                <w:tcPr>
                  <w:tcW w:w="1516" w:type="dxa"/>
                  <w:shd w:val="clear" w:color="auto" w:fill="FFFFFF" w:themeFill="background1"/>
                  <w:vAlign w:val="bottom"/>
                </w:tcPr>
                <w:p w14:paraId="671BF58A" w14:textId="77777777" w:rsidR="00E447B3" w:rsidRPr="0003607A" w:rsidRDefault="00E447B3" w:rsidP="00E447B3">
                  <w:pPr>
                    <w:jc w:val="center"/>
                    <w:rPr>
                      <w:rFonts w:cstheme="minorHAnsi"/>
                      <w:sz w:val="20"/>
                      <w:szCs w:val="20"/>
                    </w:rPr>
                  </w:pPr>
                  <w:r w:rsidRPr="0003607A">
                    <w:rPr>
                      <w:rFonts w:cstheme="minorHAnsi"/>
                      <w:sz w:val="20"/>
                      <w:szCs w:val="20"/>
                    </w:rPr>
                    <w:t>0</w:t>
                  </w:r>
                </w:p>
              </w:tc>
            </w:tr>
            <w:tr w:rsidR="00E447B3" w:rsidRPr="00377266" w14:paraId="35EF6EE2" w14:textId="77777777" w:rsidTr="00715628">
              <w:trPr>
                <w:trHeight w:val="217"/>
                <w:jc w:val="center"/>
              </w:trPr>
              <w:tc>
                <w:tcPr>
                  <w:tcW w:w="4219" w:type="dxa"/>
                  <w:shd w:val="clear" w:color="auto" w:fill="FFFFFF" w:themeFill="background1"/>
                  <w:vAlign w:val="center"/>
                  <w:hideMark/>
                </w:tcPr>
                <w:p w14:paraId="5868FA26" w14:textId="77777777" w:rsidR="00E447B3" w:rsidRPr="00377266" w:rsidRDefault="00E447B3" w:rsidP="00E447B3">
                  <w:pPr>
                    <w:rPr>
                      <w:rFonts w:cstheme="minorHAnsi"/>
                      <w:color w:val="000000" w:themeColor="text1"/>
                    </w:rPr>
                  </w:pPr>
                  <w:r w:rsidRPr="00377266">
                    <w:rPr>
                      <w:rFonts w:cstheme="minorHAnsi"/>
                      <w:color w:val="000000" w:themeColor="text1"/>
                    </w:rPr>
                    <w:t>Solo P. Alto Costo</w:t>
                  </w:r>
                </w:p>
              </w:tc>
              <w:tc>
                <w:tcPr>
                  <w:tcW w:w="1134" w:type="dxa"/>
                  <w:shd w:val="clear" w:color="auto" w:fill="FFFFFF" w:themeFill="background1"/>
                  <w:noWrap/>
                  <w:vAlign w:val="bottom"/>
                  <w:hideMark/>
                </w:tcPr>
                <w:p w14:paraId="4E5162D0"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209</w:t>
                  </w:r>
                </w:p>
              </w:tc>
              <w:tc>
                <w:tcPr>
                  <w:tcW w:w="1516" w:type="dxa"/>
                  <w:shd w:val="clear" w:color="auto" w:fill="FFFFFF" w:themeFill="background1"/>
                  <w:vAlign w:val="bottom"/>
                </w:tcPr>
                <w:p w14:paraId="2348ABB1" w14:textId="77777777" w:rsidR="00E447B3" w:rsidRPr="0003607A" w:rsidRDefault="00E447B3" w:rsidP="00E447B3">
                  <w:pPr>
                    <w:jc w:val="center"/>
                    <w:rPr>
                      <w:rFonts w:cstheme="minorHAnsi"/>
                      <w:sz w:val="20"/>
                      <w:szCs w:val="20"/>
                    </w:rPr>
                  </w:pPr>
                  <w:r w:rsidRPr="0003607A">
                    <w:rPr>
                      <w:rFonts w:cstheme="minorHAnsi"/>
                      <w:sz w:val="20"/>
                      <w:szCs w:val="20"/>
                    </w:rPr>
                    <w:t>0</w:t>
                  </w:r>
                </w:p>
              </w:tc>
            </w:tr>
            <w:tr w:rsidR="00E447B3" w:rsidRPr="00377266" w14:paraId="3D2C0804" w14:textId="77777777" w:rsidTr="00715628">
              <w:trPr>
                <w:trHeight w:val="49"/>
                <w:jc w:val="center"/>
              </w:trPr>
              <w:tc>
                <w:tcPr>
                  <w:tcW w:w="4219" w:type="dxa"/>
                  <w:shd w:val="clear" w:color="auto" w:fill="FFFFFF" w:themeFill="background1"/>
                  <w:vAlign w:val="center"/>
                  <w:hideMark/>
                </w:tcPr>
                <w:p w14:paraId="3D7D95D0" w14:textId="77777777" w:rsidR="00E447B3" w:rsidRPr="00377266" w:rsidRDefault="00E447B3" w:rsidP="00E447B3">
                  <w:pPr>
                    <w:rPr>
                      <w:rFonts w:cstheme="minorHAnsi"/>
                      <w:color w:val="000000" w:themeColor="text1"/>
                    </w:rPr>
                  </w:pPr>
                  <w:r w:rsidRPr="00377266">
                    <w:rPr>
                      <w:rFonts w:cstheme="minorHAnsi"/>
                      <w:color w:val="000000" w:themeColor="text1"/>
                    </w:rPr>
                    <w:t>P.   con Discapacidad y Adulta Mayor</w:t>
                  </w:r>
                </w:p>
              </w:tc>
              <w:tc>
                <w:tcPr>
                  <w:tcW w:w="1134" w:type="dxa"/>
                  <w:shd w:val="clear" w:color="auto" w:fill="FFFFFF" w:themeFill="background1"/>
                  <w:noWrap/>
                  <w:vAlign w:val="bottom"/>
                  <w:hideMark/>
                </w:tcPr>
                <w:p w14:paraId="15E931DE"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88</w:t>
                  </w:r>
                </w:p>
              </w:tc>
              <w:tc>
                <w:tcPr>
                  <w:tcW w:w="1516" w:type="dxa"/>
                  <w:shd w:val="clear" w:color="auto" w:fill="FFFFFF" w:themeFill="background1"/>
                  <w:vAlign w:val="bottom"/>
                </w:tcPr>
                <w:p w14:paraId="2E2ADB4E" w14:textId="77777777" w:rsidR="00E447B3" w:rsidRPr="0003607A" w:rsidRDefault="00E447B3" w:rsidP="00E447B3">
                  <w:pPr>
                    <w:jc w:val="center"/>
                    <w:rPr>
                      <w:rFonts w:cstheme="minorHAnsi"/>
                      <w:sz w:val="20"/>
                      <w:szCs w:val="20"/>
                    </w:rPr>
                  </w:pPr>
                  <w:r w:rsidRPr="0003607A">
                    <w:rPr>
                      <w:rFonts w:cstheme="minorHAnsi"/>
                      <w:sz w:val="20"/>
                      <w:szCs w:val="20"/>
                    </w:rPr>
                    <w:t>88</w:t>
                  </w:r>
                </w:p>
              </w:tc>
            </w:tr>
            <w:tr w:rsidR="00E447B3" w:rsidRPr="00377266" w14:paraId="55B55003" w14:textId="77777777" w:rsidTr="00715628">
              <w:trPr>
                <w:trHeight w:val="217"/>
                <w:jc w:val="center"/>
              </w:trPr>
              <w:tc>
                <w:tcPr>
                  <w:tcW w:w="4219" w:type="dxa"/>
                  <w:shd w:val="clear" w:color="auto" w:fill="FFFFFF" w:themeFill="background1"/>
                  <w:vAlign w:val="center"/>
                  <w:hideMark/>
                </w:tcPr>
                <w:p w14:paraId="5D3C62A2" w14:textId="77777777" w:rsidR="00E447B3" w:rsidRPr="00377266" w:rsidRDefault="00E447B3" w:rsidP="00E447B3">
                  <w:pPr>
                    <w:rPr>
                      <w:rFonts w:cstheme="minorHAnsi"/>
                      <w:color w:val="000000" w:themeColor="text1"/>
                    </w:rPr>
                  </w:pPr>
                  <w:r w:rsidRPr="00377266">
                    <w:rPr>
                      <w:rFonts w:cstheme="minorHAnsi"/>
                      <w:color w:val="000000" w:themeColor="text1"/>
                    </w:rPr>
                    <w:t>P. Adultas Mayores y Alto Costo</w:t>
                  </w:r>
                </w:p>
              </w:tc>
              <w:tc>
                <w:tcPr>
                  <w:tcW w:w="1134" w:type="dxa"/>
                  <w:shd w:val="clear" w:color="auto" w:fill="FFFFFF" w:themeFill="background1"/>
                  <w:noWrap/>
                  <w:vAlign w:val="bottom"/>
                  <w:hideMark/>
                </w:tcPr>
                <w:p w14:paraId="70A0D13E"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38</w:t>
                  </w:r>
                </w:p>
              </w:tc>
              <w:tc>
                <w:tcPr>
                  <w:tcW w:w="1516" w:type="dxa"/>
                  <w:shd w:val="clear" w:color="auto" w:fill="FFFFFF" w:themeFill="background1"/>
                  <w:vAlign w:val="bottom"/>
                </w:tcPr>
                <w:p w14:paraId="6488230B" w14:textId="77777777" w:rsidR="00E447B3" w:rsidRPr="0003607A" w:rsidRDefault="00E447B3" w:rsidP="00E447B3">
                  <w:pPr>
                    <w:jc w:val="center"/>
                    <w:rPr>
                      <w:rFonts w:cstheme="minorHAnsi"/>
                      <w:sz w:val="20"/>
                      <w:szCs w:val="20"/>
                    </w:rPr>
                  </w:pPr>
                  <w:r w:rsidRPr="0003607A">
                    <w:rPr>
                      <w:rFonts w:cstheme="minorHAnsi"/>
                      <w:sz w:val="20"/>
                      <w:szCs w:val="20"/>
                    </w:rPr>
                    <w:t>0</w:t>
                  </w:r>
                </w:p>
              </w:tc>
            </w:tr>
            <w:tr w:rsidR="00E447B3" w:rsidRPr="00377266" w14:paraId="0B30D965" w14:textId="77777777" w:rsidTr="00715628">
              <w:trPr>
                <w:trHeight w:val="217"/>
                <w:jc w:val="center"/>
              </w:trPr>
              <w:tc>
                <w:tcPr>
                  <w:tcW w:w="4219" w:type="dxa"/>
                  <w:shd w:val="clear" w:color="auto" w:fill="FFFFFF" w:themeFill="background1"/>
                  <w:vAlign w:val="center"/>
                  <w:hideMark/>
                </w:tcPr>
                <w:p w14:paraId="27CB55F6" w14:textId="77777777" w:rsidR="00E447B3" w:rsidRPr="00377266" w:rsidRDefault="00E447B3" w:rsidP="00E447B3">
                  <w:pPr>
                    <w:rPr>
                      <w:rFonts w:cstheme="minorHAnsi"/>
                      <w:color w:val="000000" w:themeColor="text1"/>
                    </w:rPr>
                  </w:pPr>
                  <w:r w:rsidRPr="00377266">
                    <w:rPr>
                      <w:rFonts w:cstheme="minorHAnsi"/>
                      <w:color w:val="000000" w:themeColor="text1"/>
                    </w:rPr>
                    <w:t xml:space="preserve">P. Alto Costo y Discapacidad </w:t>
                  </w:r>
                </w:p>
              </w:tc>
              <w:tc>
                <w:tcPr>
                  <w:tcW w:w="1134" w:type="dxa"/>
                  <w:shd w:val="clear" w:color="auto" w:fill="FFFFFF" w:themeFill="background1"/>
                  <w:noWrap/>
                  <w:vAlign w:val="bottom"/>
                  <w:hideMark/>
                </w:tcPr>
                <w:p w14:paraId="3EAD9429"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65</w:t>
                  </w:r>
                </w:p>
              </w:tc>
              <w:tc>
                <w:tcPr>
                  <w:tcW w:w="1516" w:type="dxa"/>
                  <w:shd w:val="clear" w:color="auto" w:fill="FFFFFF" w:themeFill="background1"/>
                  <w:vAlign w:val="bottom"/>
                </w:tcPr>
                <w:p w14:paraId="2419C1E9" w14:textId="77777777" w:rsidR="00E447B3" w:rsidRPr="0003607A" w:rsidRDefault="00E447B3" w:rsidP="00E447B3">
                  <w:pPr>
                    <w:jc w:val="center"/>
                    <w:rPr>
                      <w:rFonts w:cstheme="minorHAnsi"/>
                      <w:sz w:val="20"/>
                      <w:szCs w:val="20"/>
                    </w:rPr>
                  </w:pPr>
                  <w:r w:rsidRPr="0003607A">
                    <w:rPr>
                      <w:rFonts w:cstheme="minorHAnsi"/>
                      <w:sz w:val="20"/>
                      <w:szCs w:val="20"/>
                    </w:rPr>
                    <w:t>65</w:t>
                  </w:r>
                </w:p>
              </w:tc>
            </w:tr>
            <w:tr w:rsidR="00E447B3" w:rsidRPr="00377266" w14:paraId="2F9D4CF4" w14:textId="77777777" w:rsidTr="00715628">
              <w:trPr>
                <w:trHeight w:val="63"/>
                <w:jc w:val="center"/>
              </w:trPr>
              <w:tc>
                <w:tcPr>
                  <w:tcW w:w="4219" w:type="dxa"/>
                  <w:tcBorders>
                    <w:bottom w:val="single" w:sz="4" w:space="0" w:color="auto"/>
                  </w:tcBorders>
                  <w:shd w:val="clear" w:color="auto" w:fill="FFFFFF" w:themeFill="background1"/>
                  <w:vAlign w:val="center"/>
                  <w:hideMark/>
                </w:tcPr>
                <w:p w14:paraId="6C10B1AF" w14:textId="77777777" w:rsidR="00E447B3" w:rsidRPr="00377266" w:rsidRDefault="00E447B3" w:rsidP="00E447B3">
                  <w:pPr>
                    <w:rPr>
                      <w:rFonts w:cstheme="minorHAnsi"/>
                      <w:color w:val="000000" w:themeColor="text1"/>
                    </w:rPr>
                  </w:pPr>
                  <w:r w:rsidRPr="00377266">
                    <w:rPr>
                      <w:rFonts w:cstheme="minorHAnsi"/>
                      <w:color w:val="000000" w:themeColor="text1"/>
                    </w:rPr>
                    <w:t xml:space="preserve">P Discapacidad- Adulta mayor - Alto costo </w:t>
                  </w:r>
                </w:p>
              </w:tc>
              <w:tc>
                <w:tcPr>
                  <w:tcW w:w="1134" w:type="dxa"/>
                  <w:tcBorders>
                    <w:bottom w:val="single" w:sz="4" w:space="0" w:color="auto"/>
                  </w:tcBorders>
                  <w:shd w:val="clear" w:color="auto" w:fill="FFFFFF" w:themeFill="background1"/>
                  <w:noWrap/>
                  <w:vAlign w:val="bottom"/>
                  <w:hideMark/>
                </w:tcPr>
                <w:p w14:paraId="577D770A" w14:textId="77777777" w:rsidR="00E447B3" w:rsidRPr="00377266" w:rsidRDefault="00E447B3" w:rsidP="00E447B3">
                  <w:pPr>
                    <w:jc w:val="center"/>
                    <w:rPr>
                      <w:rFonts w:cstheme="minorHAnsi"/>
                      <w:color w:val="000000" w:themeColor="text1"/>
                      <w:sz w:val="20"/>
                      <w:szCs w:val="20"/>
                    </w:rPr>
                  </w:pPr>
                  <w:r w:rsidRPr="00377266">
                    <w:rPr>
                      <w:rFonts w:cstheme="minorHAnsi"/>
                      <w:color w:val="000000" w:themeColor="text1"/>
                      <w:sz w:val="20"/>
                      <w:szCs w:val="20"/>
                    </w:rPr>
                    <w:t>9</w:t>
                  </w:r>
                </w:p>
              </w:tc>
              <w:tc>
                <w:tcPr>
                  <w:tcW w:w="1516" w:type="dxa"/>
                  <w:tcBorders>
                    <w:bottom w:val="single" w:sz="4" w:space="0" w:color="auto"/>
                  </w:tcBorders>
                  <w:shd w:val="clear" w:color="auto" w:fill="FFFFFF" w:themeFill="background1"/>
                  <w:vAlign w:val="bottom"/>
                </w:tcPr>
                <w:p w14:paraId="034CAD34" w14:textId="77777777" w:rsidR="00E447B3" w:rsidRPr="0003607A" w:rsidRDefault="00E447B3" w:rsidP="00E447B3">
                  <w:pPr>
                    <w:jc w:val="center"/>
                    <w:rPr>
                      <w:rFonts w:cstheme="minorHAnsi"/>
                      <w:sz w:val="20"/>
                      <w:szCs w:val="20"/>
                    </w:rPr>
                  </w:pPr>
                  <w:r w:rsidRPr="0003607A">
                    <w:rPr>
                      <w:rFonts w:cstheme="minorHAnsi"/>
                      <w:sz w:val="20"/>
                      <w:szCs w:val="20"/>
                    </w:rPr>
                    <w:t>9</w:t>
                  </w:r>
                </w:p>
              </w:tc>
            </w:tr>
            <w:tr w:rsidR="00E447B3" w:rsidRPr="00377266" w14:paraId="5DCB8095" w14:textId="77777777" w:rsidTr="00715628">
              <w:trPr>
                <w:trHeight w:val="48"/>
                <w:jc w:val="center"/>
              </w:trPr>
              <w:tc>
                <w:tcPr>
                  <w:tcW w:w="4219" w:type="dxa"/>
                  <w:shd w:val="clear" w:color="auto" w:fill="BFBFBF" w:themeFill="background1" w:themeFillShade="BF"/>
                  <w:vAlign w:val="center"/>
                  <w:hideMark/>
                </w:tcPr>
                <w:p w14:paraId="409DF4CD" w14:textId="77777777" w:rsidR="00E447B3" w:rsidRPr="00377266" w:rsidRDefault="00E447B3" w:rsidP="00E447B3">
                  <w:pPr>
                    <w:rPr>
                      <w:rFonts w:eastAsia="Times New Roman" w:cstheme="minorHAnsi"/>
                      <w:b/>
                      <w:bCs/>
                      <w:lang w:eastAsia="es-CO"/>
                    </w:rPr>
                  </w:pPr>
                  <w:r w:rsidRPr="00377266">
                    <w:rPr>
                      <w:rFonts w:eastAsia="Times New Roman" w:cstheme="minorHAnsi"/>
                      <w:b/>
                      <w:bCs/>
                      <w:lang w:eastAsia="es-CO"/>
                    </w:rPr>
                    <w:t>TOTAL POBLACIÓN CAPAZCIDADES</w:t>
                  </w:r>
                </w:p>
              </w:tc>
              <w:tc>
                <w:tcPr>
                  <w:tcW w:w="1134" w:type="dxa"/>
                  <w:shd w:val="clear" w:color="auto" w:fill="BFBFBF" w:themeFill="background1" w:themeFillShade="BF"/>
                  <w:vAlign w:val="bottom"/>
                  <w:hideMark/>
                </w:tcPr>
                <w:p w14:paraId="06C523E2" w14:textId="77777777" w:rsidR="00E447B3" w:rsidRPr="00377266" w:rsidRDefault="00E447B3" w:rsidP="00E447B3">
                  <w:pPr>
                    <w:jc w:val="center"/>
                    <w:rPr>
                      <w:rFonts w:eastAsia="Times New Roman" w:cstheme="minorHAnsi"/>
                      <w:b/>
                      <w:bCs/>
                      <w:lang w:eastAsia="es-CO"/>
                    </w:rPr>
                  </w:pPr>
                  <w:r w:rsidRPr="00377266">
                    <w:rPr>
                      <w:rFonts w:eastAsia="Times New Roman" w:cstheme="minorHAnsi"/>
                      <w:b/>
                      <w:bCs/>
                      <w:lang w:eastAsia="es-CO"/>
                    </w:rPr>
                    <w:t>1.997</w:t>
                  </w:r>
                </w:p>
              </w:tc>
              <w:tc>
                <w:tcPr>
                  <w:tcW w:w="1516" w:type="dxa"/>
                  <w:shd w:val="clear" w:color="auto" w:fill="BFBFBF" w:themeFill="background1" w:themeFillShade="BF"/>
                  <w:vAlign w:val="bottom"/>
                </w:tcPr>
                <w:p w14:paraId="53FE4C8C" w14:textId="77777777" w:rsidR="00E447B3" w:rsidRPr="0003607A" w:rsidRDefault="00E447B3" w:rsidP="00E447B3">
                  <w:pPr>
                    <w:jc w:val="center"/>
                    <w:rPr>
                      <w:rFonts w:eastAsia="Times New Roman" w:cstheme="minorHAnsi"/>
                      <w:b/>
                      <w:bCs/>
                      <w:lang w:eastAsia="es-CO"/>
                    </w:rPr>
                  </w:pPr>
                  <w:r w:rsidRPr="00125B6A">
                    <w:rPr>
                      <w:rFonts w:eastAsia="Times New Roman" w:cstheme="minorHAnsi"/>
                      <w:b/>
                      <w:bCs/>
                      <w:lang w:eastAsia="es-CO"/>
                    </w:rPr>
                    <w:t>1.203</w:t>
                  </w:r>
                </w:p>
              </w:tc>
            </w:tr>
          </w:tbl>
          <w:p w14:paraId="220D1D03" w14:textId="42D5B010" w:rsidR="00623C90" w:rsidRDefault="00E447B3" w:rsidP="00E447B3">
            <w:pPr>
              <w:jc w:val="both"/>
              <w:rPr>
                <w:sz w:val="24"/>
                <w:szCs w:val="24"/>
              </w:rPr>
            </w:pPr>
            <w:r w:rsidRPr="00793A34">
              <w:rPr>
                <w:rFonts w:cstheme="minorHAnsi"/>
                <w:i/>
                <w:sz w:val="16"/>
                <w:szCs w:val="16"/>
              </w:rPr>
              <w:t>Fuente: Cálculos realizados por el Equipo de Enfoque Diferencial y de Género con información del Sistema de Información para la Reintegración y la Reincorporación SIRR.</w:t>
            </w:r>
          </w:p>
        </w:tc>
      </w:tr>
      <w:tr w:rsidR="00E447B3" w14:paraId="25B60A83"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73E57571" w14:textId="77777777" w:rsidR="00E447B3" w:rsidRDefault="00E447B3" w:rsidP="00E447B3">
            <w:pPr>
              <w:jc w:val="center"/>
              <w:rPr>
                <w:sz w:val="24"/>
                <w:szCs w:val="24"/>
              </w:rPr>
            </w:pPr>
            <w:r>
              <w:rPr>
                <w:noProof/>
                <w:lang w:eastAsia="es-CO"/>
              </w:rPr>
              <w:lastRenderedPageBreak/>
              <w:drawing>
                <wp:inline distT="0" distB="0" distL="0" distR="0" wp14:anchorId="0F379C1F" wp14:editId="636CFB98">
                  <wp:extent cx="942975" cy="838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68BA84F4" w14:textId="106EEFE8" w:rsidR="00E447B3" w:rsidRPr="00E447B3" w:rsidRDefault="00E447B3" w:rsidP="00E447B3">
            <w:pPr>
              <w:rPr>
                <w:color w:val="002060"/>
                <w:sz w:val="28"/>
                <w:szCs w:val="28"/>
              </w:rPr>
            </w:pPr>
            <w:r w:rsidRPr="00E447B3">
              <w:rPr>
                <w:color w:val="002060"/>
                <w:sz w:val="28"/>
                <w:szCs w:val="28"/>
              </w:rPr>
              <w:t>¿En qué territorios se desarrolló la acción?</w:t>
            </w:r>
          </w:p>
          <w:p w14:paraId="3FF5D557" w14:textId="77777777" w:rsidR="00E447B3" w:rsidRDefault="00E447B3" w:rsidP="00E447B3">
            <w:pPr>
              <w:jc w:val="both"/>
              <w:rPr>
                <w:i/>
                <w:sz w:val="24"/>
                <w:szCs w:val="24"/>
              </w:rPr>
            </w:pPr>
          </w:p>
          <w:p w14:paraId="55064F02" w14:textId="77777777" w:rsidR="00E447B3" w:rsidRDefault="00E447B3" w:rsidP="00631DF4">
            <w:pPr>
              <w:pStyle w:val="Prrafodelista"/>
              <w:numPr>
                <w:ilvl w:val="0"/>
                <w:numId w:val="29"/>
              </w:numPr>
              <w:rPr>
                <w:rFonts w:cstheme="minorHAnsi"/>
                <w:b/>
                <w:i/>
                <w:u w:val="single"/>
              </w:rPr>
            </w:pPr>
            <w:r w:rsidRPr="00854A1D">
              <w:rPr>
                <w:rFonts w:cstheme="minorHAnsi"/>
                <w:b/>
                <w:i/>
                <w:u w:val="single"/>
              </w:rPr>
              <w:t>Porcentaje de miembros de FARC-EP acreditados y que voluntariamente acceden a la ruta reincorporación con todas las medidas de la reincorporación económica y social sostenible</w:t>
            </w:r>
          </w:p>
          <w:p w14:paraId="6E11E8D9" w14:textId="77777777" w:rsidR="00E447B3" w:rsidRDefault="00E447B3" w:rsidP="00E447B3">
            <w:pPr>
              <w:pStyle w:val="Prrafodelista"/>
              <w:rPr>
                <w:rFonts w:cstheme="minorHAnsi"/>
                <w:b/>
                <w:i/>
                <w:u w:val="single"/>
              </w:rPr>
            </w:pPr>
          </w:p>
          <w:p w14:paraId="401EC6F7" w14:textId="77777777" w:rsidR="00E447B3" w:rsidRPr="00681113" w:rsidRDefault="00E447B3" w:rsidP="00E447B3">
            <w:pPr>
              <w:rPr>
                <w:rFonts w:cstheme="minorHAnsi"/>
                <w:iCs/>
              </w:rPr>
            </w:pPr>
            <w:r w:rsidRPr="00681113">
              <w:rPr>
                <w:rFonts w:cstheme="minorHAnsi"/>
                <w:iCs/>
              </w:rPr>
              <w:t>Las atenciones se realizaron en los siguientes departamentos:</w:t>
            </w:r>
          </w:p>
          <w:p w14:paraId="77C3CE90" w14:textId="77777777" w:rsidR="00E447B3" w:rsidRPr="00681113" w:rsidRDefault="00E447B3" w:rsidP="00E447B3">
            <w:pPr>
              <w:rPr>
                <w:rFonts w:cstheme="minorHAnsi"/>
                <w:b/>
                <w:i/>
                <w:u w:val="single"/>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5"/>
              <w:gridCol w:w="1134"/>
              <w:gridCol w:w="1134"/>
              <w:gridCol w:w="708"/>
              <w:gridCol w:w="709"/>
            </w:tblGrid>
            <w:tr w:rsidR="00E447B3" w:rsidRPr="00881A5A" w14:paraId="49528D4E" w14:textId="77777777" w:rsidTr="00715628">
              <w:trPr>
                <w:trHeight w:val="315"/>
                <w:jc w:val="center"/>
              </w:trPr>
              <w:tc>
                <w:tcPr>
                  <w:tcW w:w="2795" w:type="dxa"/>
                  <w:vMerge w:val="restart"/>
                  <w:shd w:val="clear" w:color="auto" w:fill="4472C4" w:themeFill="accent1"/>
                  <w:vAlign w:val="center"/>
                  <w:hideMark/>
                </w:tcPr>
                <w:p w14:paraId="2DD86C8A" w14:textId="77777777" w:rsidR="00E447B3" w:rsidRPr="00104F76" w:rsidRDefault="00E447B3" w:rsidP="00E447B3">
                  <w:pPr>
                    <w:spacing w:after="0" w:line="240" w:lineRule="auto"/>
                    <w:jc w:val="center"/>
                    <w:rPr>
                      <w:rFonts w:eastAsia="Times New Roman"/>
                      <w:b/>
                      <w:lang w:eastAsia="es-CO"/>
                    </w:rPr>
                  </w:pPr>
                  <w:r w:rsidRPr="00104F76">
                    <w:rPr>
                      <w:rFonts w:eastAsia="Times New Roman"/>
                      <w:b/>
                      <w:lang w:eastAsia="es-CO"/>
                    </w:rPr>
                    <w:t>DEPARTAMENTO</w:t>
                  </w:r>
                </w:p>
              </w:tc>
              <w:tc>
                <w:tcPr>
                  <w:tcW w:w="3685" w:type="dxa"/>
                  <w:gridSpan w:val="4"/>
                  <w:shd w:val="clear" w:color="auto" w:fill="4472C4" w:themeFill="accent1"/>
                  <w:vAlign w:val="center"/>
                  <w:hideMark/>
                </w:tcPr>
                <w:p w14:paraId="62C8B848" w14:textId="77777777" w:rsidR="00E447B3" w:rsidRPr="00104F76" w:rsidRDefault="00E447B3" w:rsidP="00E447B3">
                  <w:pPr>
                    <w:spacing w:after="0" w:line="240" w:lineRule="auto"/>
                    <w:jc w:val="center"/>
                    <w:rPr>
                      <w:rFonts w:eastAsia="Times New Roman"/>
                      <w:b/>
                      <w:lang w:eastAsia="es-CO"/>
                    </w:rPr>
                  </w:pPr>
                  <w:r w:rsidRPr="00104F76">
                    <w:rPr>
                      <w:rFonts w:eastAsia="Times New Roman"/>
                      <w:b/>
                      <w:lang w:eastAsia="es-CO"/>
                    </w:rPr>
                    <w:t>Datos</w:t>
                  </w:r>
                </w:p>
              </w:tc>
            </w:tr>
            <w:tr w:rsidR="00E447B3" w:rsidRPr="00881A5A" w14:paraId="08D4B7D5" w14:textId="77777777" w:rsidTr="00715628">
              <w:trPr>
                <w:trHeight w:val="315"/>
                <w:jc w:val="center"/>
              </w:trPr>
              <w:tc>
                <w:tcPr>
                  <w:tcW w:w="2795" w:type="dxa"/>
                  <w:vMerge/>
                  <w:shd w:val="clear" w:color="auto" w:fill="4472C4" w:themeFill="accent1"/>
                  <w:vAlign w:val="center"/>
                  <w:hideMark/>
                </w:tcPr>
                <w:p w14:paraId="7F03B96E" w14:textId="77777777" w:rsidR="00E447B3" w:rsidRPr="00104F76" w:rsidRDefault="00E447B3" w:rsidP="00E447B3">
                  <w:pPr>
                    <w:spacing w:after="0" w:line="240" w:lineRule="auto"/>
                    <w:rPr>
                      <w:rFonts w:eastAsia="Times New Roman"/>
                      <w:b/>
                      <w:lang w:eastAsia="es-CO"/>
                    </w:rPr>
                  </w:pPr>
                </w:p>
              </w:tc>
              <w:tc>
                <w:tcPr>
                  <w:tcW w:w="1134" w:type="dxa"/>
                  <w:shd w:val="clear" w:color="auto" w:fill="4472C4" w:themeFill="accent1"/>
                  <w:noWrap/>
                  <w:vAlign w:val="center"/>
                  <w:hideMark/>
                </w:tcPr>
                <w:p w14:paraId="4CEDB7D5"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Femenino</w:t>
                  </w:r>
                </w:p>
              </w:tc>
              <w:tc>
                <w:tcPr>
                  <w:tcW w:w="1134" w:type="dxa"/>
                  <w:shd w:val="clear" w:color="auto" w:fill="4472C4" w:themeFill="accent1"/>
                  <w:noWrap/>
                  <w:vAlign w:val="center"/>
                  <w:hideMark/>
                </w:tcPr>
                <w:p w14:paraId="56B23E6B"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Masculino</w:t>
                  </w:r>
                </w:p>
              </w:tc>
              <w:tc>
                <w:tcPr>
                  <w:tcW w:w="708" w:type="dxa"/>
                  <w:shd w:val="clear" w:color="auto" w:fill="4472C4" w:themeFill="accent1"/>
                  <w:noWrap/>
                  <w:vAlign w:val="center"/>
                  <w:hideMark/>
                </w:tcPr>
                <w:p w14:paraId="0F11791F"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Total</w:t>
                  </w:r>
                </w:p>
              </w:tc>
              <w:tc>
                <w:tcPr>
                  <w:tcW w:w="709" w:type="dxa"/>
                  <w:shd w:val="clear" w:color="auto" w:fill="4472C4" w:themeFill="accent1"/>
                  <w:noWrap/>
                  <w:vAlign w:val="center"/>
                  <w:hideMark/>
                </w:tcPr>
                <w:p w14:paraId="2C606378" w14:textId="77777777" w:rsidR="00E447B3" w:rsidRPr="00104F76" w:rsidRDefault="00E447B3" w:rsidP="00E447B3">
                  <w:pPr>
                    <w:spacing w:after="0" w:line="240" w:lineRule="auto"/>
                    <w:jc w:val="center"/>
                    <w:rPr>
                      <w:rFonts w:eastAsia="Times New Roman"/>
                      <w:b/>
                      <w:color w:val="000000"/>
                      <w:lang w:eastAsia="es-CO"/>
                    </w:rPr>
                  </w:pPr>
                  <w:r w:rsidRPr="00104F76">
                    <w:rPr>
                      <w:rFonts w:eastAsia="Times New Roman"/>
                      <w:b/>
                      <w:color w:val="000000"/>
                      <w:lang w:eastAsia="es-CO"/>
                    </w:rPr>
                    <w:t>Étnico</w:t>
                  </w:r>
                </w:p>
              </w:tc>
            </w:tr>
            <w:tr w:rsidR="00E447B3" w:rsidRPr="00881A5A" w14:paraId="6115C49C" w14:textId="77777777" w:rsidTr="00715628">
              <w:trPr>
                <w:trHeight w:val="300"/>
                <w:jc w:val="center"/>
              </w:trPr>
              <w:tc>
                <w:tcPr>
                  <w:tcW w:w="2795" w:type="dxa"/>
                  <w:shd w:val="clear" w:color="auto" w:fill="auto"/>
                  <w:noWrap/>
                  <w:vAlign w:val="bottom"/>
                  <w:hideMark/>
                </w:tcPr>
                <w:p w14:paraId="639D138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Meta</w:t>
                  </w:r>
                </w:p>
              </w:tc>
              <w:tc>
                <w:tcPr>
                  <w:tcW w:w="1134" w:type="dxa"/>
                  <w:shd w:val="clear" w:color="auto" w:fill="auto"/>
                  <w:noWrap/>
                  <w:vAlign w:val="bottom"/>
                  <w:hideMark/>
                </w:tcPr>
                <w:p w14:paraId="1C04431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471</w:t>
                  </w:r>
                </w:p>
              </w:tc>
              <w:tc>
                <w:tcPr>
                  <w:tcW w:w="1134" w:type="dxa"/>
                  <w:shd w:val="clear" w:color="auto" w:fill="auto"/>
                  <w:noWrap/>
                  <w:vAlign w:val="bottom"/>
                  <w:hideMark/>
                </w:tcPr>
                <w:p w14:paraId="6A8ECA0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918</w:t>
                  </w:r>
                </w:p>
              </w:tc>
              <w:tc>
                <w:tcPr>
                  <w:tcW w:w="708" w:type="dxa"/>
                  <w:shd w:val="clear" w:color="auto" w:fill="auto"/>
                  <w:noWrap/>
                  <w:vAlign w:val="bottom"/>
                  <w:hideMark/>
                </w:tcPr>
                <w:p w14:paraId="02E883D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1389</w:t>
                  </w:r>
                </w:p>
              </w:tc>
              <w:tc>
                <w:tcPr>
                  <w:tcW w:w="709" w:type="dxa"/>
                  <w:shd w:val="clear" w:color="auto" w:fill="auto"/>
                  <w:noWrap/>
                  <w:vAlign w:val="bottom"/>
                  <w:hideMark/>
                </w:tcPr>
                <w:p w14:paraId="2D16DC7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123</w:t>
                  </w:r>
                </w:p>
              </w:tc>
            </w:tr>
            <w:tr w:rsidR="00E447B3" w:rsidRPr="00881A5A" w14:paraId="52B1AEA1" w14:textId="77777777" w:rsidTr="00715628">
              <w:trPr>
                <w:trHeight w:val="300"/>
                <w:jc w:val="center"/>
              </w:trPr>
              <w:tc>
                <w:tcPr>
                  <w:tcW w:w="2795" w:type="dxa"/>
                  <w:shd w:val="clear" w:color="auto" w:fill="auto"/>
                  <w:noWrap/>
                  <w:vAlign w:val="bottom"/>
                  <w:hideMark/>
                </w:tcPr>
                <w:p w14:paraId="1B2488AA"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Antioquia</w:t>
                  </w:r>
                </w:p>
              </w:tc>
              <w:tc>
                <w:tcPr>
                  <w:tcW w:w="1134" w:type="dxa"/>
                  <w:shd w:val="clear" w:color="auto" w:fill="auto"/>
                  <w:noWrap/>
                  <w:vAlign w:val="bottom"/>
                  <w:hideMark/>
                </w:tcPr>
                <w:p w14:paraId="639B9C2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332</w:t>
                  </w:r>
                </w:p>
              </w:tc>
              <w:tc>
                <w:tcPr>
                  <w:tcW w:w="1134" w:type="dxa"/>
                  <w:shd w:val="clear" w:color="auto" w:fill="auto"/>
                  <w:noWrap/>
                  <w:vAlign w:val="bottom"/>
                  <w:hideMark/>
                </w:tcPr>
                <w:p w14:paraId="63C1649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987</w:t>
                  </w:r>
                </w:p>
              </w:tc>
              <w:tc>
                <w:tcPr>
                  <w:tcW w:w="708" w:type="dxa"/>
                  <w:shd w:val="clear" w:color="auto" w:fill="auto"/>
                  <w:noWrap/>
                  <w:vAlign w:val="bottom"/>
                  <w:hideMark/>
                </w:tcPr>
                <w:p w14:paraId="0D3C12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1319</w:t>
                  </w:r>
                </w:p>
              </w:tc>
              <w:tc>
                <w:tcPr>
                  <w:tcW w:w="709" w:type="dxa"/>
                  <w:shd w:val="clear" w:color="auto" w:fill="auto"/>
                  <w:noWrap/>
                  <w:vAlign w:val="bottom"/>
                  <w:hideMark/>
                </w:tcPr>
                <w:p w14:paraId="54AED86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169</w:t>
                  </w:r>
                </w:p>
              </w:tc>
            </w:tr>
            <w:tr w:rsidR="00E447B3" w:rsidRPr="00881A5A" w14:paraId="7C2F7102" w14:textId="77777777" w:rsidTr="00715628">
              <w:trPr>
                <w:trHeight w:val="245"/>
                <w:jc w:val="center"/>
              </w:trPr>
              <w:tc>
                <w:tcPr>
                  <w:tcW w:w="2795" w:type="dxa"/>
                  <w:shd w:val="clear" w:color="auto" w:fill="auto"/>
                  <w:noWrap/>
                  <w:vAlign w:val="bottom"/>
                  <w:hideMark/>
                </w:tcPr>
                <w:p w14:paraId="058538F3"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Cauca</w:t>
                  </w:r>
                </w:p>
              </w:tc>
              <w:tc>
                <w:tcPr>
                  <w:tcW w:w="1134" w:type="dxa"/>
                  <w:shd w:val="clear" w:color="auto" w:fill="auto"/>
                  <w:noWrap/>
                  <w:vAlign w:val="bottom"/>
                  <w:hideMark/>
                </w:tcPr>
                <w:p w14:paraId="62E6695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237</w:t>
                  </w:r>
                </w:p>
              </w:tc>
              <w:tc>
                <w:tcPr>
                  <w:tcW w:w="1134" w:type="dxa"/>
                  <w:shd w:val="clear" w:color="auto" w:fill="auto"/>
                  <w:noWrap/>
                  <w:vAlign w:val="bottom"/>
                  <w:hideMark/>
                </w:tcPr>
                <w:p w14:paraId="3C63144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965</w:t>
                  </w:r>
                </w:p>
              </w:tc>
              <w:tc>
                <w:tcPr>
                  <w:tcW w:w="708" w:type="dxa"/>
                  <w:shd w:val="clear" w:color="auto" w:fill="auto"/>
                  <w:noWrap/>
                  <w:vAlign w:val="bottom"/>
                  <w:hideMark/>
                </w:tcPr>
                <w:p w14:paraId="400CD48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1202</w:t>
                  </w:r>
                </w:p>
              </w:tc>
              <w:tc>
                <w:tcPr>
                  <w:tcW w:w="709" w:type="dxa"/>
                  <w:shd w:val="clear" w:color="auto" w:fill="auto"/>
                  <w:noWrap/>
                  <w:vAlign w:val="bottom"/>
                  <w:hideMark/>
                </w:tcPr>
                <w:p w14:paraId="47434EB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651</w:t>
                  </w:r>
                </w:p>
              </w:tc>
            </w:tr>
            <w:tr w:rsidR="00E447B3" w:rsidRPr="00881A5A" w14:paraId="253C12FB" w14:textId="77777777" w:rsidTr="00715628">
              <w:trPr>
                <w:trHeight w:val="300"/>
                <w:jc w:val="center"/>
              </w:trPr>
              <w:tc>
                <w:tcPr>
                  <w:tcW w:w="2795" w:type="dxa"/>
                  <w:shd w:val="clear" w:color="auto" w:fill="auto"/>
                  <w:noWrap/>
                  <w:vAlign w:val="bottom"/>
                  <w:hideMark/>
                </w:tcPr>
                <w:p w14:paraId="430F5236"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Caquetá</w:t>
                  </w:r>
                </w:p>
              </w:tc>
              <w:tc>
                <w:tcPr>
                  <w:tcW w:w="1134" w:type="dxa"/>
                  <w:shd w:val="clear" w:color="auto" w:fill="auto"/>
                  <w:noWrap/>
                  <w:vAlign w:val="bottom"/>
                  <w:hideMark/>
                </w:tcPr>
                <w:p w14:paraId="3DD1BE7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208</w:t>
                  </w:r>
                </w:p>
              </w:tc>
              <w:tc>
                <w:tcPr>
                  <w:tcW w:w="1134" w:type="dxa"/>
                  <w:shd w:val="clear" w:color="auto" w:fill="auto"/>
                  <w:noWrap/>
                  <w:vAlign w:val="bottom"/>
                  <w:hideMark/>
                </w:tcPr>
                <w:p w14:paraId="3284440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654</w:t>
                  </w:r>
                </w:p>
              </w:tc>
              <w:tc>
                <w:tcPr>
                  <w:tcW w:w="708" w:type="dxa"/>
                  <w:shd w:val="clear" w:color="auto" w:fill="auto"/>
                  <w:noWrap/>
                  <w:vAlign w:val="bottom"/>
                  <w:hideMark/>
                </w:tcPr>
                <w:p w14:paraId="1731A85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862</w:t>
                  </w:r>
                </w:p>
              </w:tc>
              <w:tc>
                <w:tcPr>
                  <w:tcW w:w="709" w:type="dxa"/>
                  <w:shd w:val="clear" w:color="auto" w:fill="auto"/>
                  <w:noWrap/>
                  <w:vAlign w:val="bottom"/>
                  <w:hideMark/>
                </w:tcPr>
                <w:p w14:paraId="6714D4F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54</w:t>
                  </w:r>
                </w:p>
              </w:tc>
            </w:tr>
            <w:tr w:rsidR="00E447B3" w:rsidRPr="00881A5A" w14:paraId="5D172512" w14:textId="77777777" w:rsidTr="00715628">
              <w:trPr>
                <w:trHeight w:val="300"/>
                <w:jc w:val="center"/>
              </w:trPr>
              <w:tc>
                <w:tcPr>
                  <w:tcW w:w="2795" w:type="dxa"/>
                  <w:shd w:val="clear" w:color="auto" w:fill="auto"/>
                  <w:noWrap/>
                  <w:vAlign w:val="bottom"/>
                  <w:hideMark/>
                </w:tcPr>
                <w:p w14:paraId="0CB0E09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Tolima</w:t>
                  </w:r>
                </w:p>
              </w:tc>
              <w:tc>
                <w:tcPr>
                  <w:tcW w:w="1134" w:type="dxa"/>
                  <w:shd w:val="clear" w:color="auto" w:fill="auto"/>
                  <w:noWrap/>
                  <w:vAlign w:val="bottom"/>
                  <w:hideMark/>
                </w:tcPr>
                <w:p w14:paraId="78A46CD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185</w:t>
                  </w:r>
                </w:p>
              </w:tc>
              <w:tc>
                <w:tcPr>
                  <w:tcW w:w="1134" w:type="dxa"/>
                  <w:shd w:val="clear" w:color="auto" w:fill="auto"/>
                  <w:noWrap/>
                  <w:vAlign w:val="bottom"/>
                  <w:hideMark/>
                </w:tcPr>
                <w:p w14:paraId="56F0AD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549</w:t>
                  </w:r>
                </w:p>
              </w:tc>
              <w:tc>
                <w:tcPr>
                  <w:tcW w:w="708" w:type="dxa"/>
                  <w:shd w:val="clear" w:color="auto" w:fill="auto"/>
                  <w:noWrap/>
                  <w:vAlign w:val="bottom"/>
                  <w:hideMark/>
                </w:tcPr>
                <w:p w14:paraId="6A4D48E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734</w:t>
                  </w:r>
                </w:p>
              </w:tc>
              <w:tc>
                <w:tcPr>
                  <w:tcW w:w="709" w:type="dxa"/>
                  <w:shd w:val="clear" w:color="auto" w:fill="auto"/>
                  <w:noWrap/>
                  <w:vAlign w:val="bottom"/>
                  <w:hideMark/>
                </w:tcPr>
                <w:p w14:paraId="31F347D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70</w:t>
                  </w:r>
                </w:p>
              </w:tc>
            </w:tr>
            <w:tr w:rsidR="00E447B3" w:rsidRPr="00881A5A" w14:paraId="6F7C40D7" w14:textId="77777777" w:rsidTr="00715628">
              <w:trPr>
                <w:trHeight w:val="300"/>
                <w:jc w:val="center"/>
              </w:trPr>
              <w:tc>
                <w:tcPr>
                  <w:tcW w:w="2795" w:type="dxa"/>
                  <w:shd w:val="clear" w:color="auto" w:fill="auto"/>
                  <w:noWrap/>
                  <w:vAlign w:val="bottom"/>
                  <w:hideMark/>
                </w:tcPr>
                <w:p w14:paraId="5BF5FEF3"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Bogotá D.C.</w:t>
                  </w:r>
                </w:p>
              </w:tc>
              <w:tc>
                <w:tcPr>
                  <w:tcW w:w="1134" w:type="dxa"/>
                  <w:shd w:val="clear" w:color="auto" w:fill="auto"/>
                  <w:noWrap/>
                  <w:vAlign w:val="bottom"/>
                  <w:hideMark/>
                </w:tcPr>
                <w:p w14:paraId="0742A13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237</w:t>
                  </w:r>
                </w:p>
              </w:tc>
              <w:tc>
                <w:tcPr>
                  <w:tcW w:w="1134" w:type="dxa"/>
                  <w:shd w:val="clear" w:color="auto" w:fill="auto"/>
                  <w:noWrap/>
                  <w:vAlign w:val="bottom"/>
                  <w:hideMark/>
                </w:tcPr>
                <w:p w14:paraId="222ECAB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459</w:t>
                  </w:r>
                </w:p>
              </w:tc>
              <w:tc>
                <w:tcPr>
                  <w:tcW w:w="708" w:type="dxa"/>
                  <w:shd w:val="clear" w:color="auto" w:fill="auto"/>
                  <w:noWrap/>
                  <w:vAlign w:val="bottom"/>
                  <w:hideMark/>
                </w:tcPr>
                <w:p w14:paraId="78248AC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696</w:t>
                  </w:r>
                </w:p>
              </w:tc>
              <w:tc>
                <w:tcPr>
                  <w:tcW w:w="709" w:type="dxa"/>
                  <w:shd w:val="clear" w:color="auto" w:fill="auto"/>
                  <w:noWrap/>
                  <w:vAlign w:val="bottom"/>
                  <w:hideMark/>
                </w:tcPr>
                <w:p w14:paraId="2CEBDCA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60</w:t>
                  </w:r>
                </w:p>
              </w:tc>
            </w:tr>
            <w:tr w:rsidR="00E447B3" w:rsidRPr="00881A5A" w14:paraId="2AE12FC6" w14:textId="77777777" w:rsidTr="00715628">
              <w:trPr>
                <w:trHeight w:val="300"/>
                <w:jc w:val="center"/>
              </w:trPr>
              <w:tc>
                <w:tcPr>
                  <w:tcW w:w="2795" w:type="dxa"/>
                  <w:shd w:val="clear" w:color="auto" w:fill="auto"/>
                  <w:noWrap/>
                  <w:vAlign w:val="bottom"/>
                  <w:hideMark/>
                </w:tcPr>
                <w:p w14:paraId="0CD059F7"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Norte de Santander</w:t>
                  </w:r>
                </w:p>
              </w:tc>
              <w:tc>
                <w:tcPr>
                  <w:tcW w:w="1134" w:type="dxa"/>
                  <w:shd w:val="clear" w:color="auto" w:fill="auto"/>
                  <w:noWrap/>
                  <w:vAlign w:val="bottom"/>
                  <w:hideMark/>
                </w:tcPr>
                <w:p w14:paraId="301814E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90</w:t>
                  </w:r>
                </w:p>
              </w:tc>
              <w:tc>
                <w:tcPr>
                  <w:tcW w:w="1134" w:type="dxa"/>
                  <w:shd w:val="clear" w:color="auto" w:fill="auto"/>
                  <w:noWrap/>
                  <w:vAlign w:val="bottom"/>
                  <w:hideMark/>
                </w:tcPr>
                <w:p w14:paraId="26E68F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529</w:t>
                  </w:r>
                </w:p>
              </w:tc>
              <w:tc>
                <w:tcPr>
                  <w:tcW w:w="708" w:type="dxa"/>
                  <w:shd w:val="clear" w:color="auto" w:fill="auto"/>
                  <w:noWrap/>
                  <w:vAlign w:val="bottom"/>
                  <w:hideMark/>
                </w:tcPr>
                <w:p w14:paraId="762C3EC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619</w:t>
                  </w:r>
                </w:p>
              </w:tc>
              <w:tc>
                <w:tcPr>
                  <w:tcW w:w="709" w:type="dxa"/>
                  <w:shd w:val="clear" w:color="auto" w:fill="auto"/>
                  <w:noWrap/>
                  <w:vAlign w:val="bottom"/>
                  <w:hideMark/>
                </w:tcPr>
                <w:p w14:paraId="1A72382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r>
            <w:tr w:rsidR="00E447B3" w:rsidRPr="00881A5A" w14:paraId="4FD2F049" w14:textId="77777777" w:rsidTr="00715628">
              <w:trPr>
                <w:trHeight w:val="300"/>
                <w:jc w:val="center"/>
              </w:trPr>
              <w:tc>
                <w:tcPr>
                  <w:tcW w:w="2795" w:type="dxa"/>
                  <w:shd w:val="clear" w:color="auto" w:fill="auto"/>
                  <w:noWrap/>
                  <w:vAlign w:val="bottom"/>
                  <w:hideMark/>
                </w:tcPr>
                <w:p w14:paraId="1BF27F38"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Huila</w:t>
                  </w:r>
                </w:p>
              </w:tc>
              <w:tc>
                <w:tcPr>
                  <w:tcW w:w="1134" w:type="dxa"/>
                  <w:shd w:val="clear" w:color="auto" w:fill="auto"/>
                  <w:noWrap/>
                  <w:vAlign w:val="bottom"/>
                  <w:hideMark/>
                </w:tcPr>
                <w:p w14:paraId="41075B5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117</w:t>
                  </w:r>
                </w:p>
              </w:tc>
              <w:tc>
                <w:tcPr>
                  <w:tcW w:w="1134" w:type="dxa"/>
                  <w:shd w:val="clear" w:color="auto" w:fill="auto"/>
                  <w:noWrap/>
                  <w:vAlign w:val="bottom"/>
                  <w:hideMark/>
                </w:tcPr>
                <w:p w14:paraId="5247E3D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395</w:t>
                  </w:r>
                </w:p>
              </w:tc>
              <w:tc>
                <w:tcPr>
                  <w:tcW w:w="708" w:type="dxa"/>
                  <w:shd w:val="clear" w:color="auto" w:fill="auto"/>
                  <w:noWrap/>
                  <w:vAlign w:val="bottom"/>
                  <w:hideMark/>
                </w:tcPr>
                <w:p w14:paraId="2AFC4A4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512</w:t>
                  </w:r>
                </w:p>
              </w:tc>
              <w:tc>
                <w:tcPr>
                  <w:tcW w:w="709" w:type="dxa"/>
                  <w:shd w:val="clear" w:color="auto" w:fill="auto"/>
                  <w:noWrap/>
                  <w:vAlign w:val="bottom"/>
                  <w:hideMark/>
                </w:tcPr>
                <w:p w14:paraId="2BBB69B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31</w:t>
                  </w:r>
                </w:p>
              </w:tc>
            </w:tr>
            <w:tr w:rsidR="00E447B3" w:rsidRPr="00881A5A" w14:paraId="41B9796B" w14:textId="77777777" w:rsidTr="00715628">
              <w:trPr>
                <w:trHeight w:val="300"/>
                <w:jc w:val="center"/>
              </w:trPr>
              <w:tc>
                <w:tcPr>
                  <w:tcW w:w="2795" w:type="dxa"/>
                  <w:shd w:val="clear" w:color="auto" w:fill="auto"/>
                  <w:noWrap/>
                  <w:vAlign w:val="bottom"/>
                  <w:hideMark/>
                </w:tcPr>
                <w:p w14:paraId="6A590ED0"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Guaviare</w:t>
                  </w:r>
                </w:p>
              </w:tc>
              <w:tc>
                <w:tcPr>
                  <w:tcW w:w="1134" w:type="dxa"/>
                  <w:shd w:val="clear" w:color="auto" w:fill="auto"/>
                  <w:noWrap/>
                  <w:vAlign w:val="bottom"/>
                  <w:hideMark/>
                </w:tcPr>
                <w:p w14:paraId="759A29C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177</w:t>
                  </w:r>
                </w:p>
              </w:tc>
              <w:tc>
                <w:tcPr>
                  <w:tcW w:w="1134" w:type="dxa"/>
                  <w:shd w:val="clear" w:color="auto" w:fill="auto"/>
                  <w:noWrap/>
                  <w:vAlign w:val="bottom"/>
                  <w:hideMark/>
                </w:tcPr>
                <w:p w14:paraId="3641F74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345</w:t>
                  </w:r>
                </w:p>
              </w:tc>
              <w:tc>
                <w:tcPr>
                  <w:tcW w:w="708" w:type="dxa"/>
                  <w:shd w:val="clear" w:color="auto" w:fill="auto"/>
                  <w:noWrap/>
                  <w:vAlign w:val="bottom"/>
                  <w:hideMark/>
                </w:tcPr>
                <w:p w14:paraId="1BB786E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522</w:t>
                  </w:r>
                </w:p>
              </w:tc>
              <w:tc>
                <w:tcPr>
                  <w:tcW w:w="709" w:type="dxa"/>
                  <w:shd w:val="clear" w:color="auto" w:fill="auto"/>
                  <w:noWrap/>
                  <w:vAlign w:val="bottom"/>
                  <w:hideMark/>
                </w:tcPr>
                <w:p w14:paraId="6ABF234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74</w:t>
                  </w:r>
                </w:p>
              </w:tc>
            </w:tr>
            <w:tr w:rsidR="00E447B3" w:rsidRPr="00881A5A" w14:paraId="5E3FD9DB" w14:textId="77777777" w:rsidTr="00715628">
              <w:trPr>
                <w:trHeight w:val="300"/>
                <w:jc w:val="center"/>
              </w:trPr>
              <w:tc>
                <w:tcPr>
                  <w:tcW w:w="2795" w:type="dxa"/>
                  <w:shd w:val="clear" w:color="auto" w:fill="auto"/>
                  <w:noWrap/>
                  <w:vAlign w:val="bottom"/>
                  <w:hideMark/>
                </w:tcPr>
                <w:p w14:paraId="0373C5CE"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Nariño</w:t>
                  </w:r>
                </w:p>
              </w:tc>
              <w:tc>
                <w:tcPr>
                  <w:tcW w:w="1134" w:type="dxa"/>
                  <w:shd w:val="clear" w:color="auto" w:fill="auto"/>
                  <w:noWrap/>
                  <w:vAlign w:val="bottom"/>
                  <w:hideMark/>
                </w:tcPr>
                <w:p w14:paraId="0B7831B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141</w:t>
                  </w:r>
                </w:p>
              </w:tc>
              <w:tc>
                <w:tcPr>
                  <w:tcW w:w="1134" w:type="dxa"/>
                  <w:shd w:val="clear" w:color="auto" w:fill="auto"/>
                  <w:noWrap/>
                  <w:vAlign w:val="bottom"/>
                  <w:hideMark/>
                </w:tcPr>
                <w:p w14:paraId="1D176CE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363</w:t>
                  </w:r>
                </w:p>
              </w:tc>
              <w:tc>
                <w:tcPr>
                  <w:tcW w:w="708" w:type="dxa"/>
                  <w:shd w:val="clear" w:color="auto" w:fill="auto"/>
                  <w:noWrap/>
                  <w:vAlign w:val="bottom"/>
                  <w:hideMark/>
                </w:tcPr>
                <w:p w14:paraId="26B9C1B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504</w:t>
                  </w:r>
                </w:p>
              </w:tc>
              <w:tc>
                <w:tcPr>
                  <w:tcW w:w="709" w:type="dxa"/>
                  <w:shd w:val="clear" w:color="auto" w:fill="auto"/>
                  <w:noWrap/>
                  <w:vAlign w:val="bottom"/>
                  <w:hideMark/>
                </w:tcPr>
                <w:p w14:paraId="3F48931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305</w:t>
                  </w:r>
                </w:p>
              </w:tc>
            </w:tr>
            <w:tr w:rsidR="00E447B3" w:rsidRPr="00881A5A" w14:paraId="287177D4" w14:textId="77777777" w:rsidTr="00715628">
              <w:trPr>
                <w:trHeight w:val="300"/>
                <w:jc w:val="center"/>
              </w:trPr>
              <w:tc>
                <w:tcPr>
                  <w:tcW w:w="2795" w:type="dxa"/>
                  <w:shd w:val="clear" w:color="auto" w:fill="auto"/>
                  <w:noWrap/>
                  <w:vAlign w:val="bottom"/>
                  <w:hideMark/>
                </w:tcPr>
                <w:p w14:paraId="5295941A"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Arauca</w:t>
                  </w:r>
                </w:p>
              </w:tc>
              <w:tc>
                <w:tcPr>
                  <w:tcW w:w="1134" w:type="dxa"/>
                  <w:shd w:val="clear" w:color="auto" w:fill="auto"/>
                  <w:noWrap/>
                  <w:vAlign w:val="bottom"/>
                  <w:hideMark/>
                </w:tcPr>
                <w:p w14:paraId="4F5F98B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107</w:t>
                  </w:r>
                </w:p>
              </w:tc>
              <w:tc>
                <w:tcPr>
                  <w:tcW w:w="1134" w:type="dxa"/>
                  <w:shd w:val="clear" w:color="auto" w:fill="auto"/>
                  <w:noWrap/>
                  <w:vAlign w:val="bottom"/>
                  <w:hideMark/>
                </w:tcPr>
                <w:p w14:paraId="2172743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347</w:t>
                  </w:r>
                </w:p>
              </w:tc>
              <w:tc>
                <w:tcPr>
                  <w:tcW w:w="708" w:type="dxa"/>
                  <w:shd w:val="clear" w:color="auto" w:fill="auto"/>
                  <w:noWrap/>
                  <w:vAlign w:val="bottom"/>
                  <w:hideMark/>
                </w:tcPr>
                <w:p w14:paraId="3EE0D2E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454</w:t>
                  </w:r>
                </w:p>
              </w:tc>
              <w:tc>
                <w:tcPr>
                  <w:tcW w:w="709" w:type="dxa"/>
                  <w:shd w:val="clear" w:color="auto" w:fill="auto"/>
                  <w:noWrap/>
                  <w:vAlign w:val="bottom"/>
                  <w:hideMark/>
                </w:tcPr>
                <w:p w14:paraId="52086E0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w:t>
                  </w:r>
                </w:p>
              </w:tc>
            </w:tr>
            <w:tr w:rsidR="00E447B3" w:rsidRPr="00881A5A" w14:paraId="0223DE8A" w14:textId="77777777" w:rsidTr="00715628">
              <w:trPr>
                <w:trHeight w:val="300"/>
                <w:jc w:val="center"/>
              </w:trPr>
              <w:tc>
                <w:tcPr>
                  <w:tcW w:w="2795" w:type="dxa"/>
                  <w:shd w:val="clear" w:color="auto" w:fill="auto"/>
                  <w:noWrap/>
                  <w:vAlign w:val="bottom"/>
                  <w:hideMark/>
                </w:tcPr>
                <w:p w14:paraId="240EDAD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Valle del Cauca</w:t>
                  </w:r>
                </w:p>
              </w:tc>
              <w:tc>
                <w:tcPr>
                  <w:tcW w:w="1134" w:type="dxa"/>
                  <w:shd w:val="clear" w:color="auto" w:fill="auto"/>
                  <w:noWrap/>
                  <w:vAlign w:val="bottom"/>
                  <w:hideMark/>
                </w:tcPr>
                <w:p w14:paraId="68EDD68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87</w:t>
                  </w:r>
                </w:p>
              </w:tc>
              <w:tc>
                <w:tcPr>
                  <w:tcW w:w="1134" w:type="dxa"/>
                  <w:shd w:val="clear" w:color="auto" w:fill="auto"/>
                  <w:noWrap/>
                  <w:vAlign w:val="bottom"/>
                  <w:hideMark/>
                </w:tcPr>
                <w:p w14:paraId="074CA96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328</w:t>
                  </w:r>
                </w:p>
              </w:tc>
              <w:tc>
                <w:tcPr>
                  <w:tcW w:w="708" w:type="dxa"/>
                  <w:shd w:val="clear" w:color="auto" w:fill="auto"/>
                  <w:noWrap/>
                  <w:vAlign w:val="bottom"/>
                  <w:hideMark/>
                </w:tcPr>
                <w:p w14:paraId="230BA78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415</w:t>
                  </w:r>
                </w:p>
              </w:tc>
              <w:tc>
                <w:tcPr>
                  <w:tcW w:w="709" w:type="dxa"/>
                  <w:shd w:val="clear" w:color="auto" w:fill="auto"/>
                  <w:noWrap/>
                  <w:vAlign w:val="bottom"/>
                  <w:hideMark/>
                </w:tcPr>
                <w:p w14:paraId="1126374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130</w:t>
                  </w:r>
                </w:p>
              </w:tc>
            </w:tr>
            <w:tr w:rsidR="00E447B3" w:rsidRPr="00881A5A" w14:paraId="4A387074" w14:textId="77777777" w:rsidTr="00715628">
              <w:trPr>
                <w:trHeight w:val="300"/>
                <w:jc w:val="center"/>
              </w:trPr>
              <w:tc>
                <w:tcPr>
                  <w:tcW w:w="2795" w:type="dxa"/>
                  <w:shd w:val="clear" w:color="auto" w:fill="auto"/>
                  <w:noWrap/>
                  <w:vAlign w:val="bottom"/>
                  <w:hideMark/>
                </w:tcPr>
                <w:p w14:paraId="351D00A4"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Putumayo</w:t>
                  </w:r>
                </w:p>
              </w:tc>
              <w:tc>
                <w:tcPr>
                  <w:tcW w:w="1134" w:type="dxa"/>
                  <w:shd w:val="clear" w:color="auto" w:fill="auto"/>
                  <w:noWrap/>
                  <w:vAlign w:val="bottom"/>
                  <w:hideMark/>
                </w:tcPr>
                <w:p w14:paraId="34AE696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73</w:t>
                  </w:r>
                </w:p>
              </w:tc>
              <w:tc>
                <w:tcPr>
                  <w:tcW w:w="1134" w:type="dxa"/>
                  <w:shd w:val="clear" w:color="auto" w:fill="auto"/>
                  <w:noWrap/>
                  <w:vAlign w:val="bottom"/>
                  <w:hideMark/>
                </w:tcPr>
                <w:p w14:paraId="220D518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333</w:t>
                  </w:r>
                </w:p>
              </w:tc>
              <w:tc>
                <w:tcPr>
                  <w:tcW w:w="708" w:type="dxa"/>
                  <w:shd w:val="clear" w:color="auto" w:fill="auto"/>
                  <w:noWrap/>
                  <w:vAlign w:val="bottom"/>
                  <w:hideMark/>
                </w:tcPr>
                <w:p w14:paraId="73FD971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406</w:t>
                  </w:r>
                </w:p>
              </w:tc>
              <w:tc>
                <w:tcPr>
                  <w:tcW w:w="709" w:type="dxa"/>
                  <w:shd w:val="clear" w:color="auto" w:fill="auto"/>
                  <w:noWrap/>
                  <w:vAlign w:val="bottom"/>
                  <w:hideMark/>
                </w:tcPr>
                <w:p w14:paraId="629A082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66</w:t>
                  </w:r>
                </w:p>
              </w:tc>
            </w:tr>
            <w:tr w:rsidR="00E447B3" w:rsidRPr="00881A5A" w14:paraId="26FBA698" w14:textId="77777777" w:rsidTr="00715628">
              <w:trPr>
                <w:trHeight w:val="300"/>
                <w:jc w:val="center"/>
              </w:trPr>
              <w:tc>
                <w:tcPr>
                  <w:tcW w:w="2795" w:type="dxa"/>
                  <w:shd w:val="clear" w:color="auto" w:fill="auto"/>
                  <w:noWrap/>
                  <w:vAlign w:val="bottom"/>
                  <w:hideMark/>
                </w:tcPr>
                <w:p w14:paraId="723EDE44"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La Guajira</w:t>
                  </w:r>
                </w:p>
              </w:tc>
              <w:tc>
                <w:tcPr>
                  <w:tcW w:w="1134" w:type="dxa"/>
                  <w:shd w:val="clear" w:color="auto" w:fill="auto"/>
                  <w:noWrap/>
                  <w:vAlign w:val="bottom"/>
                  <w:hideMark/>
                </w:tcPr>
                <w:p w14:paraId="70E1C58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106</w:t>
                  </w:r>
                </w:p>
              </w:tc>
              <w:tc>
                <w:tcPr>
                  <w:tcW w:w="1134" w:type="dxa"/>
                  <w:shd w:val="clear" w:color="auto" w:fill="auto"/>
                  <w:noWrap/>
                  <w:vAlign w:val="bottom"/>
                  <w:hideMark/>
                </w:tcPr>
                <w:p w14:paraId="2063720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242</w:t>
                  </w:r>
                </w:p>
              </w:tc>
              <w:tc>
                <w:tcPr>
                  <w:tcW w:w="708" w:type="dxa"/>
                  <w:shd w:val="clear" w:color="auto" w:fill="auto"/>
                  <w:noWrap/>
                  <w:vAlign w:val="bottom"/>
                  <w:hideMark/>
                </w:tcPr>
                <w:p w14:paraId="221A7A5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348</w:t>
                  </w:r>
                </w:p>
              </w:tc>
              <w:tc>
                <w:tcPr>
                  <w:tcW w:w="709" w:type="dxa"/>
                  <w:shd w:val="clear" w:color="auto" w:fill="auto"/>
                  <w:noWrap/>
                  <w:vAlign w:val="bottom"/>
                  <w:hideMark/>
                </w:tcPr>
                <w:p w14:paraId="6CD448D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61</w:t>
                  </w:r>
                </w:p>
              </w:tc>
            </w:tr>
            <w:tr w:rsidR="00E447B3" w:rsidRPr="00881A5A" w14:paraId="665F5DC9" w14:textId="77777777" w:rsidTr="00715628">
              <w:trPr>
                <w:trHeight w:val="300"/>
                <w:jc w:val="center"/>
              </w:trPr>
              <w:tc>
                <w:tcPr>
                  <w:tcW w:w="2795" w:type="dxa"/>
                  <w:shd w:val="clear" w:color="auto" w:fill="auto"/>
                  <w:noWrap/>
                  <w:vAlign w:val="bottom"/>
                  <w:hideMark/>
                </w:tcPr>
                <w:p w14:paraId="1F32CF24"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Cundinamarca</w:t>
                  </w:r>
                </w:p>
              </w:tc>
              <w:tc>
                <w:tcPr>
                  <w:tcW w:w="1134" w:type="dxa"/>
                  <w:shd w:val="clear" w:color="auto" w:fill="auto"/>
                  <w:noWrap/>
                  <w:vAlign w:val="bottom"/>
                  <w:hideMark/>
                </w:tcPr>
                <w:p w14:paraId="7B415B3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77</w:t>
                  </w:r>
                </w:p>
              </w:tc>
              <w:tc>
                <w:tcPr>
                  <w:tcW w:w="1134" w:type="dxa"/>
                  <w:shd w:val="clear" w:color="auto" w:fill="auto"/>
                  <w:noWrap/>
                  <w:vAlign w:val="bottom"/>
                  <w:hideMark/>
                </w:tcPr>
                <w:p w14:paraId="15551D3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223</w:t>
                  </w:r>
                </w:p>
              </w:tc>
              <w:tc>
                <w:tcPr>
                  <w:tcW w:w="708" w:type="dxa"/>
                  <w:shd w:val="clear" w:color="auto" w:fill="auto"/>
                  <w:noWrap/>
                  <w:vAlign w:val="bottom"/>
                  <w:hideMark/>
                </w:tcPr>
                <w:p w14:paraId="7D4F289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300</w:t>
                  </w:r>
                </w:p>
              </w:tc>
              <w:tc>
                <w:tcPr>
                  <w:tcW w:w="709" w:type="dxa"/>
                  <w:shd w:val="clear" w:color="auto" w:fill="auto"/>
                  <w:noWrap/>
                  <w:vAlign w:val="bottom"/>
                  <w:hideMark/>
                </w:tcPr>
                <w:p w14:paraId="60D4FF9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15</w:t>
                  </w:r>
                </w:p>
              </w:tc>
            </w:tr>
            <w:tr w:rsidR="00E447B3" w:rsidRPr="00881A5A" w14:paraId="563172BF" w14:textId="77777777" w:rsidTr="00715628">
              <w:trPr>
                <w:trHeight w:val="300"/>
                <w:jc w:val="center"/>
              </w:trPr>
              <w:tc>
                <w:tcPr>
                  <w:tcW w:w="2795" w:type="dxa"/>
                  <w:shd w:val="clear" w:color="auto" w:fill="auto"/>
                  <w:noWrap/>
                  <w:vAlign w:val="bottom"/>
                  <w:hideMark/>
                </w:tcPr>
                <w:p w14:paraId="739DDEDA"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lastRenderedPageBreak/>
                    <w:t>Chocó</w:t>
                  </w:r>
                </w:p>
              </w:tc>
              <w:tc>
                <w:tcPr>
                  <w:tcW w:w="1134" w:type="dxa"/>
                  <w:shd w:val="clear" w:color="auto" w:fill="auto"/>
                  <w:noWrap/>
                  <w:vAlign w:val="bottom"/>
                  <w:hideMark/>
                </w:tcPr>
                <w:p w14:paraId="0A7B548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46</w:t>
                  </w:r>
                </w:p>
              </w:tc>
              <w:tc>
                <w:tcPr>
                  <w:tcW w:w="1134" w:type="dxa"/>
                  <w:shd w:val="clear" w:color="auto" w:fill="auto"/>
                  <w:noWrap/>
                  <w:vAlign w:val="bottom"/>
                  <w:hideMark/>
                </w:tcPr>
                <w:p w14:paraId="3867425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215</w:t>
                  </w:r>
                </w:p>
              </w:tc>
              <w:tc>
                <w:tcPr>
                  <w:tcW w:w="708" w:type="dxa"/>
                  <w:shd w:val="clear" w:color="auto" w:fill="auto"/>
                  <w:noWrap/>
                  <w:vAlign w:val="bottom"/>
                  <w:hideMark/>
                </w:tcPr>
                <w:p w14:paraId="6C6A033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261</w:t>
                  </w:r>
                </w:p>
              </w:tc>
              <w:tc>
                <w:tcPr>
                  <w:tcW w:w="709" w:type="dxa"/>
                  <w:shd w:val="clear" w:color="auto" w:fill="auto"/>
                  <w:noWrap/>
                  <w:vAlign w:val="bottom"/>
                  <w:hideMark/>
                </w:tcPr>
                <w:p w14:paraId="3A0B150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122</w:t>
                  </w:r>
                </w:p>
              </w:tc>
            </w:tr>
            <w:tr w:rsidR="00E447B3" w:rsidRPr="00881A5A" w14:paraId="0368A690" w14:textId="77777777" w:rsidTr="00715628">
              <w:trPr>
                <w:trHeight w:val="300"/>
                <w:jc w:val="center"/>
              </w:trPr>
              <w:tc>
                <w:tcPr>
                  <w:tcW w:w="2795" w:type="dxa"/>
                  <w:shd w:val="clear" w:color="auto" w:fill="auto"/>
                  <w:noWrap/>
                  <w:vAlign w:val="bottom"/>
                  <w:hideMark/>
                </w:tcPr>
                <w:p w14:paraId="420BE9B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Bolívar</w:t>
                  </w:r>
                </w:p>
              </w:tc>
              <w:tc>
                <w:tcPr>
                  <w:tcW w:w="1134" w:type="dxa"/>
                  <w:shd w:val="clear" w:color="auto" w:fill="auto"/>
                  <w:noWrap/>
                  <w:vAlign w:val="bottom"/>
                  <w:hideMark/>
                </w:tcPr>
                <w:p w14:paraId="5E130E7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64</w:t>
                  </w:r>
                </w:p>
              </w:tc>
              <w:tc>
                <w:tcPr>
                  <w:tcW w:w="1134" w:type="dxa"/>
                  <w:shd w:val="clear" w:color="auto" w:fill="auto"/>
                  <w:noWrap/>
                  <w:vAlign w:val="bottom"/>
                  <w:hideMark/>
                </w:tcPr>
                <w:p w14:paraId="1C1FC3E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192</w:t>
                  </w:r>
                </w:p>
              </w:tc>
              <w:tc>
                <w:tcPr>
                  <w:tcW w:w="708" w:type="dxa"/>
                  <w:shd w:val="clear" w:color="auto" w:fill="auto"/>
                  <w:noWrap/>
                  <w:vAlign w:val="bottom"/>
                  <w:hideMark/>
                </w:tcPr>
                <w:p w14:paraId="09AB3D6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256</w:t>
                  </w:r>
                </w:p>
              </w:tc>
              <w:tc>
                <w:tcPr>
                  <w:tcW w:w="709" w:type="dxa"/>
                  <w:shd w:val="clear" w:color="auto" w:fill="auto"/>
                  <w:noWrap/>
                  <w:vAlign w:val="bottom"/>
                  <w:hideMark/>
                </w:tcPr>
                <w:p w14:paraId="095E582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w:t>
                  </w:r>
                </w:p>
              </w:tc>
            </w:tr>
            <w:tr w:rsidR="00E447B3" w:rsidRPr="00881A5A" w14:paraId="587CBB56" w14:textId="77777777" w:rsidTr="00715628">
              <w:trPr>
                <w:trHeight w:val="300"/>
                <w:jc w:val="center"/>
              </w:trPr>
              <w:tc>
                <w:tcPr>
                  <w:tcW w:w="2795" w:type="dxa"/>
                  <w:shd w:val="clear" w:color="auto" w:fill="auto"/>
                  <w:noWrap/>
                  <w:vAlign w:val="bottom"/>
                  <w:hideMark/>
                </w:tcPr>
                <w:p w14:paraId="60CAA659"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Sucre</w:t>
                  </w:r>
                </w:p>
              </w:tc>
              <w:tc>
                <w:tcPr>
                  <w:tcW w:w="1134" w:type="dxa"/>
                  <w:shd w:val="clear" w:color="auto" w:fill="auto"/>
                  <w:noWrap/>
                  <w:vAlign w:val="bottom"/>
                  <w:hideMark/>
                </w:tcPr>
                <w:p w14:paraId="595C7B7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36</w:t>
                  </w:r>
                </w:p>
              </w:tc>
              <w:tc>
                <w:tcPr>
                  <w:tcW w:w="1134" w:type="dxa"/>
                  <w:shd w:val="clear" w:color="auto" w:fill="auto"/>
                  <w:noWrap/>
                  <w:vAlign w:val="bottom"/>
                  <w:hideMark/>
                </w:tcPr>
                <w:p w14:paraId="4BF9B45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191</w:t>
                  </w:r>
                </w:p>
              </w:tc>
              <w:tc>
                <w:tcPr>
                  <w:tcW w:w="708" w:type="dxa"/>
                  <w:shd w:val="clear" w:color="auto" w:fill="auto"/>
                  <w:noWrap/>
                  <w:vAlign w:val="bottom"/>
                  <w:hideMark/>
                </w:tcPr>
                <w:p w14:paraId="4587355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227</w:t>
                  </w:r>
                </w:p>
              </w:tc>
              <w:tc>
                <w:tcPr>
                  <w:tcW w:w="709" w:type="dxa"/>
                  <w:shd w:val="clear" w:color="auto" w:fill="auto"/>
                  <w:noWrap/>
                  <w:vAlign w:val="bottom"/>
                  <w:hideMark/>
                </w:tcPr>
                <w:p w14:paraId="6F16CB2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16</w:t>
                  </w:r>
                </w:p>
              </w:tc>
            </w:tr>
            <w:tr w:rsidR="00E447B3" w:rsidRPr="00881A5A" w14:paraId="72A48DA4" w14:textId="77777777" w:rsidTr="00715628">
              <w:trPr>
                <w:trHeight w:val="300"/>
                <w:jc w:val="center"/>
              </w:trPr>
              <w:tc>
                <w:tcPr>
                  <w:tcW w:w="2795" w:type="dxa"/>
                  <w:shd w:val="clear" w:color="auto" w:fill="auto"/>
                  <w:noWrap/>
                  <w:vAlign w:val="bottom"/>
                  <w:hideMark/>
                </w:tcPr>
                <w:p w14:paraId="442BAB2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Cesar</w:t>
                  </w:r>
                </w:p>
              </w:tc>
              <w:tc>
                <w:tcPr>
                  <w:tcW w:w="1134" w:type="dxa"/>
                  <w:shd w:val="clear" w:color="auto" w:fill="auto"/>
                  <w:noWrap/>
                  <w:vAlign w:val="bottom"/>
                  <w:hideMark/>
                </w:tcPr>
                <w:p w14:paraId="5A52F4D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68</w:t>
                  </w:r>
                </w:p>
              </w:tc>
              <w:tc>
                <w:tcPr>
                  <w:tcW w:w="1134" w:type="dxa"/>
                  <w:shd w:val="clear" w:color="auto" w:fill="auto"/>
                  <w:noWrap/>
                  <w:vAlign w:val="bottom"/>
                  <w:hideMark/>
                </w:tcPr>
                <w:p w14:paraId="3B8833A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143</w:t>
                  </w:r>
                </w:p>
              </w:tc>
              <w:tc>
                <w:tcPr>
                  <w:tcW w:w="708" w:type="dxa"/>
                  <w:shd w:val="clear" w:color="auto" w:fill="auto"/>
                  <w:noWrap/>
                  <w:vAlign w:val="bottom"/>
                  <w:hideMark/>
                </w:tcPr>
                <w:p w14:paraId="73333D9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211</w:t>
                  </w:r>
                </w:p>
              </w:tc>
              <w:tc>
                <w:tcPr>
                  <w:tcW w:w="709" w:type="dxa"/>
                  <w:shd w:val="clear" w:color="auto" w:fill="auto"/>
                  <w:noWrap/>
                  <w:vAlign w:val="bottom"/>
                  <w:hideMark/>
                </w:tcPr>
                <w:p w14:paraId="0FCE266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50</w:t>
                  </w:r>
                </w:p>
              </w:tc>
            </w:tr>
            <w:tr w:rsidR="00E447B3" w:rsidRPr="00881A5A" w14:paraId="0F5C9079" w14:textId="77777777" w:rsidTr="00715628">
              <w:trPr>
                <w:trHeight w:val="300"/>
                <w:jc w:val="center"/>
              </w:trPr>
              <w:tc>
                <w:tcPr>
                  <w:tcW w:w="2795" w:type="dxa"/>
                  <w:shd w:val="clear" w:color="auto" w:fill="auto"/>
                  <w:noWrap/>
                  <w:vAlign w:val="bottom"/>
                  <w:hideMark/>
                </w:tcPr>
                <w:p w14:paraId="2DDAC451"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Santander</w:t>
                  </w:r>
                </w:p>
              </w:tc>
              <w:tc>
                <w:tcPr>
                  <w:tcW w:w="1134" w:type="dxa"/>
                  <w:shd w:val="clear" w:color="auto" w:fill="auto"/>
                  <w:noWrap/>
                  <w:vAlign w:val="bottom"/>
                  <w:hideMark/>
                </w:tcPr>
                <w:p w14:paraId="3CAA151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42</w:t>
                  </w:r>
                </w:p>
              </w:tc>
              <w:tc>
                <w:tcPr>
                  <w:tcW w:w="1134" w:type="dxa"/>
                  <w:shd w:val="clear" w:color="auto" w:fill="auto"/>
                  <w:noWrap/>
                  <w:vAlign w:val="bottom"/>
                  <w:hideMark/>
                </w:tcPr>
                <w:p w14:paraId="63F8000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155</w:t>
                  </w:r>
                </w:p>
              </w:tc>
              <w:tc>
                <w:tcPr>
                  <w:tcW w:w="708" w:type="dxa"/>
                  <w:shd w:val="clear" w:color="auto" w:fill="auto"/>
                  <w:noWrap/>
                  <w:vAlign w:val="bottom"/>
                  <w:hideMark/>
                </w:tcPr>
                <w:p w14:paraId="3C24E86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197</w:t>
                  </w:r>
                </w:p>
              </w:tc>
              <w:tc>
                <w:tcPr>
                  <w:tcW w:w="709" w:type="dxa"/>
                  <w:shd w:val="clear" w:color="auto" w:fill="auto"/>
                  <w:noWrap/>
                  <w:vAlign w:val="bottom"/>
                  <w:hideMark/>
                </w:tcPr>
                <w:p w14:paraId="6EF385B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r>
            <w:tr w:rsidR="00E447B3" w:rsidRPr="00881A5A" w14:paraId="632934BA" w14:textId="77777777" w:rsidTr="00715628">
              <w:trPr>
                <w:trHeight w:val="300"/>
                <w:jc w:val="center"/>
              </w:trPr>
              <w:tc>
                <w:tcPr>
                  <w:tcW w:w="2795" w:type="dxa"/>
                  <w:shd w:val="clear" w:color="auto" w:fill="auto"/>
                  <w:noWrap/>
                  <w:vAlign w:val="bottom"/>
                  <w:hideMark/>
                </w:tcPr>
                <w:p w14:paraId="6D1F3C3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Risaralda</w:t>
                  </w:r>
                </w:p>
              </w:tc>
              <w:tc>
                <w:tcPr>
                  <w:tcW w:w="1134" w:type="dxa"/>
                  <w:shd w:val="clear" w:color="auto" w:fill="auto"/>
                  <w:noWrap/>
                  <w:vAlign w:val="bottom"/>
                  <w:hideMark/>
                </w:tcPr>
                <w:p w14:paraId="6255BDA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28</w:t>
                  </w:r>
                </w:p>
              </w:tc>
              <w:tc>
                <w:tcPr>
                  <w:tcW w:w="1134" w:type="dxa"/>
                  <w:shd w:val="clear" w:color="auto" w:fill="auto"/>
                  <w:noWrap/>
                  <w:vAlign w:val="bottom"/>
                  <w:hideMark/>
                </w:tcPr>
                <w:p w14:paraId="0E5AA2F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95</w:t>
                  </w:r>
                </w:p>
              </w:tc>
              <w:tc>
                <w:tcPr>
                  <w:tcW w:w="708" w:type="dxa"/>
                  <w:shd w:val="clear" w:color="auto" w:fill="auto"/>
                  <w:noWrap/>
                  <w:vAlign w:val="bottom"/>
                  <w:hideMark/>
                </w:tcPr>
                <w:p w14:paraId="4629AC2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123</w:t>
                  </w:r>
                </w:p>
              </w:tc>
              <w:tc>
                <w:tcPr>
                  <w:tcW w:w="709" w:type="dxa"/>
                  <w:shd w:val="clear" w:color="auto" w:fill="auto"/>
                  <w:noWrap/>
                  <w:vAlign w:val="bottom"/>
                  <w:hideMark/>
                </w:tcPr>
                <w:p w14:paraId="47BE1B4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w:t>
                  </w:r>
                </w:p>
              </w:tc>
            </w:tr>
            <w:tr w:rsidR="00E447B3" w:rsidRPr="00881A5A" w14:paraId="726DB2CB" w14:textId="77777777" w:rsidTr="00715628">
              <w:trPr>
                <w:trHeight w:val="300"/>
                <w:jc w:val="center"/>
              </w:trPr>
              <w:tc>
                <w:tcPr>
                  <w:tcW w:w="2795" w:type="dxa"/>
                  <w:shd w:val="clear" w:color="auto" w:fill="auto"/>
                  <w:noWrap/>
                  <w:vAlign w:val="bottom"/>
                  <w:hideMark/>
                </w:tcPr>
                <w:p w14:paraId="3ED8BDC7"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Córdoba</w:t>
                  </w:r>
                </w:p>
              </w:tc>
              <w:tc>
                <w:tcPr>
                  <w:tcW w:w="1134" w:type="dxa"/>
                  <w:shd w:val="clear" w:color="auto" w:fill="auto"/>
                  <w:noWrap/>
                  <w:vAlign w:val="bottom"/>
                  <w:hideMark/>
                </w:tcPr>
                <w:p w14:paraId="1BF55EF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w:t>
                  </w:r>
                </w:p>
              </w:tc>
              <w:tc>
                <w:tcPr>
                  <w:tcW w:w="1134" w:type="dxa"/>
                  <w:shd w:val="clear" w:color="auto" w:fill="auto"/>
                  <w:noWrap/>
                  <w:vAlign w:val="bottom"/>
                  <w:hideMark/>
                </w:tcPr>
                <w:p w14:paraId="2F485A1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67</w:t>
                  </w:r>
                </w:p>
              </w:tc>
              <w:tc>
                <w:tcPr>
                  <w:tcW w:w="708" w:type="dxa"/>
                  <w:shd w:val="clear" w:color="auto" w:fill="auto"/>
                  <w:noWrap/>
                  <w:vAlign w:val="bottom"/>
                  <w:hideMark/>
                </w:tcPr>
                <w:p w14:paraId="05B4AE4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84</w:t>
                  </w:r>
                </w:p>
              </w:tc>
              <w:tc>
                <w:tcPr>
                  <w:tcW w:w="709" w:type="dxa"/>
                  <w:shd w:val="clear" w:color="auto" w:fill="auto"/>
                  <w:noWrap/>
                  <w:vAlign w:val="bottom"/>
                  <w:hideMark/>
                </w:tcPr>
                <w:p w14:paraId="7F8D7FD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w:t>
                  </w:r>
                </w:p>
              </w:tc>
            </w:tr>
            <w:tr w:rsidR="00E447B3" w:rsidRPr="00881A5A" w14:paraId="3842B4F9" w14:textId="77777777" w:rsidTr="00715628">
              <w:trPr>
                <w:trHeight w:val="300"/>
                <w:jc w:val="center"/>
              </w:trPr>
              <w:tc>
                <w:tcPr>
                  <w:tcW w:w="2795" w:type="dxa"/>
                  <w:shd w:val="clear" w:color="auto" w:fill="auto"/>
                  <w:noWrap/>
                  <w:vAlign w:val="bottom"/>
                  <w:hideMark/>
                </w:tcPr>
                <w:p w14:paraId="7570FA5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Atlántico</w:t>
                  </w:r>
                </w:p>
              </w:tc>
              <w:tc>
                <w:tcPr>
                  <w:tcW w:w="1134" w:type="dxa"/>
                  <w:shd w:val="clear" w:color="auto" w:fill="auto"/>
                  <w:noWrap/>
                  <w:vAlign w:val="bottom"/>
                  <w:hideMark/>
                </w:tcPr>
                <w:p w14:paraId="0A420C9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23</w:t>
                  </w:r>
                </w:p>
              </w:tc>
              <w:tc>
                <w:tcPr>
                  <w:tcW w:w="1134" w:type="dxa"/>
                  <w:shd w:val="clear" w:color="auto" w:fill="auto"/>
                  <w:noWrap/>
                  <w:vAlign w:val="bottom"/>
                  <w:hideMark/>
                </w:tcPr>
                <w:p w14:paraId="22EAD7D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44</w:t>
                  </w:r>
                </w:p>
              </w:tc>
              <w:tc>
                <w:tcPr>
                  <w:tcW w:w="708" w:type="dxa"/>
                  <w:shd w:val="clear" w:color="auto" w:fill="auto"/>
                  <w:noWrap/>
                  <w:vAlign w:val="bottom"/>
                  <w:hideMark/>
                </w:tcPr>
                <w:p w14:paraId="2667807E"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67</w:t>
                  </w:r>
                </w:p>
              </w:tc>
              <w:tc>
                <w:tcPr>
                  <w:tcW w:w="709" w:type="dxa"/>
                  <w:shd w:val="clear" w:color="auto" w:fill="auto"/>
                  <w:noWrap/>
                  <w:vAlign w:val="bottom"/>
                  <w:hideMark/>
                </w:tcPr>
                <w:p w14:paraId="6BB9216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r>
            <w:tr w:rsidR="00E447B3" w:rsidRPr="00881A5A" w14:paraId="3431B99B" w14:textId="77777777" w:rsidTr="00715628">
              <w:trPr>
                <w:trHeight w:val="300"/>
                <w:jc w:val="center"/>
              </w:trPr>
              <w:tc>
                <w:tcPr>
                  <w:tcW w:w="2795" w:type="dxa"/>
                  <w:shd w:val="clear" w:color="auto" w:fill="auto"/>
                  <w:noWrap/>
                  <w:vAlign w:val="bottom"/>
                  <w:hideMark/>
                </w:tcPr>
                <w:p w14:paraId="72257E69"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Casanare</w:t>
                  </w:r>
                </w:p>
              </w:tc>
              <w:tc>
                <w:tcPr>
                  <w:tcW w:w="1134" w:type="dxa"/>
                  <w:shd w:val="clear" w:color="auto" w:fill="auto"/>
                  <w:noWrap/>
                  <w:vAlign w:val="bottom"/>
                  <w:hideMark/>
                </w:tcPr>
                <w:p w14:paraId="236F66B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w:t>
                  </w:r>
                </w:p>
              </w:tc>
              <w:tc>
                <w:tcPr>
                  <w:tcW w:w="1134" w:type="dxa"/>
                  <w:shd w:val="clear" w:color="auto" w:fill="auto"/>
                  <w:noWrap/>
                  <w:vAlign w:val="bottom"/>
                  <w:hideMark/>
                </w:tcPr>
                <w:p w14:paraId="03C3B1E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47</w:t>
                  </w:r>
                </w:p>
              </w:tc>
              <w:tc>
                <w:tcPr>
                  <w:tcW w:w="708" w:type="dxa"/>
                  <w:shd w:val="clear" w:color="auto" w:fill="auto"/>
                  <w:noWrap/>
                  <w:vAlign w:val="bottom"/>
                  <w:hideMark/>
                </w:tcPr>
                <w:p w14:paraId="058BB7D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65</w:t>
                  </w:r>
                </w:p>
              </w:tc>
              <w:tc>
                <w:tcPr>
                  <w:tcW w:w="709" w:type="dxa"/>
                  <w:shd w:val="clear" w:color="auto" w:fill="auto"/>
                  <w:noWrap/>
                  <w:vAlign w:val="bottom"/>
                  <w:hideMark/>
                </w:tcPr>
                <w:p w14:paraId="5C18884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r>
            <w:tr w:rsidR="00E447B3" w:rsidRPr="00881A5A" w14:paraId="0F3F2A6F" w14:textId="77777777" w:rsidTr="00715628">
              <w:trPr>
                <w:trHeight w:val="300"/>
                <w:jc w:val="center"/>
              </w:trPr>
              <w:tc>
                <w:tcPr>
                  <w:tcW w:w="2795" w:type="dxa"/>
                  <w:shd w:val="clear" w:color="auto" w:fill="auto"/>
                  <w:noWrap/>
                  <w:vAlign w:val="bottom"/>
                  <w:hideMark/>
                </w:tcPr>
                <w:p w14:paraId="72AA3BA8"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Caldas</w:t>
                  </w:r>
                </w:p>
              </w:tc>
              <w:tc>
                <w:tcPr>
                  <w:tcW w:w="1134" w:type="dxa"/>
                  <w:shd w:val="clear" w:color="auto" w:fill="auto"/>
                  <w:noWrap/>
                  <w:vAlign w:val="bottom"/>
                  <w:hideMark/>
                </w:tcPr>
                <w:p w14:paraId="07BF9FC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w:t>
                  </w:r>
                </w:p>
              </w:tc>
              <w:tc>
                <w:tcPr>
                  <w:tcW w:w="1134" w:type="dxa"/>
                  <w:shd w:val="clear" w:color="auto" w:fill="auto"/>
                  <w:noWrap/>
                  <w:vAlign w:val="bottom"/>
                  <w:hideMark/>
                </w:tcPr>
                <w:p w14:paraId="5D60958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w:t>
                  </w:r>
                </w:p>
              </w:tc>
              <w:tc>
                <w:tcPr>
                  <w:tcW w:w="708" w:type="dxa"/>
                  <w:shd w:val="clear" w:color="auto" w:fill="auto"/>
                  <w:noWrap/>
                  <w:vAlign w:val="bottom"/>
                  <w:hideMark/>
                </w:tcPr>
                <w:p w14:paraId="5D55B49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51</w:t>
                  </w:r>
                </w:p>
              </w:tc>
              <w:tc>
                <w:tcPr>
                  <w:tcW w:w="709" w:type="dxa"/>
                  <w:shd w:val="clear" w:color="auto" w:fill="auto"/>
                  <w:noWrap/>
                  <w:vAlign w:val="bottom"/>
                  <w:hideMark/>
                </w:tcPr>
                <w:p w14:paraId="3BFDB615"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17</w:t>
                  </w:r>
                </w:p>
              </w:tc>
            </w:tr>
            <w:tr w:rsidR="00E447B3" w:rsidRPr="00881A5A" w14:paraId="0D4C43B0" w14:textId="77777777" w:rsidTr="00715628">
              <w:trPr>
                <w:trHeight w:val="300"/>
                <w:jc w:val="center"/>
              </w:trPr>
              <w:tc>
                <w:tcPr>
                  <w:tcW w:w="2795" w:type="dxa"/>
                  <w:shd w:val="clear" w:color="auto" w:fill="auto"/>
                  <w:noWrap/>
                  <w:vAlign w:val="bottom"/>
                  <w:hideMark/>
                </w:tcPr>
                <w:p w14:paraId="054B9FE5"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Boyacá</w:t>
                  </w:r>
                </w:p>
              </w:tc>
              <w:tc>
                <w:tcPr>
                  <w:tcW w:w="1134" w:type="dxa"/>
                  <w:shd w:val="clear" w:color="auto" w:fill="auto"/>
                  <w:noWrap/>
                  <w:vAlign w:val="bottom"/>
                  <w:hideMark/>
                </w:tcPr>
                <w:p w14:paraId="4141D72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w:t>
                  </w:r>
                </w:p>
              </w:tc>
              <w:tc>
                <w:tcPr>
                  <w:tcW w:w="1134" w:type="dxa"/>
                  <w:shd w:val="clear" w:color="auto" w:fill="auto"/>
                  <w:noWrap/>
                  <w:vAlign w:val="bottom"/>
                  <w:hideMark/>
                </w:tcPr>
                <w:p w14:paraId="15E8C20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36</w:t>
                  </w:r>
                </w:p>
              </w:tc>
              <w:tc>
                <w:tcPr>
                  <w:tcW w:w="708" w:type="dxa"/>
                  <w:shd w:val="clear" w:color="auto" w:fill="auto"/>
                  <w:noWrap/>
                  <w:vAlign w:val="bottom"/>
                  <w:hideMark/>
                </w:tcPr>
                <w:p w14:paraId="1D683081"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45</w:t>
                  </w:r>
                </w:p>
              </w:tc>
              <w:tc>
                <w:tcPr>
                  <w:tcW w:w="709" w:type="dxa"/>
                  <w:shd w:val="clear" w:color="auto" w:fill="auto"/>
                  <w:noWrap/>
                  <w:vAlign w:val="bottom"/>
                  <w:hideMark/>
                </w:tcPr>
                <w:p w14:paraId="411993E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w:t>
                  </w:r>
                </w:p>
              </w:tc>
            </w:tr>
            <w:tr w:rsidR="00E447B3" w:rsidRPr="00881A5A" w14:paraId="11A7D16A" w14:textId="77777777" w:rsidTr="00715628">
              <w:trPr>
                <w:trHeight w:val="285"/>
                <w:jc w:val="center"/>
              </w:trPr>
              <w:tc>
                <w:tcPr>
                  <w:tcW w:w="2795" w:type="dxa"/>
                  <w:shd w:val="clear" w:color="auto" w:fill="auto"/>
                  <w:noWrap/>
                  <w:vAlign w:val="bottom"/>
                  <w:hideMark/>
                </w:tcPr>
                <w:p w14:paraId="41CD7BF2"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Quindío</w:t>
                  </w:r>
                </w:p>
              </w:tc>
              <w:tc>
                <w:tcPr>
                  <w:tcW w:w="1134" w:type="dxa"/>
                  <w:shd w:val="clear" w:color="auto" w:fill="auto"/>
                  <w:noWrap/>
                  <w:vAlign w:val="bottom"/>
                  <w:hideMark/>
                </w:tcPr>
                <w:p w14:paraId="0318D7E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c>
                <w:tcPr>
                  <w:tcW w:w="1134" w:type="dxa"/>
                  <w:shd w:val="clear" w:color="auto" w:fill="auto"/>
                  <w:noWrap/>
                  <w:vAlign w:val="bottom"/>
                  <w:hideMark/>
                </w:tcPr>
                <w:p w14:paraId="6B20268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28</w:t>
                  </w:r>
                </w:p>
              </w:tc>
              <w:tc>
                <w:tcPr>
                  <w:tcW w:w="708" w:type="dxa"/>
                  <w:shd w:val="clear" w:color="auto" w:fill="auto"/>
                  <w:noWrap/>
                  <w:vAlign w:val="bottom"/>
                  <w:hideMark/>
                </w:tcPr>
                <w:p w14:paraId="4B726F1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39</w:t>
                  </w:r>
                </w:p>
              </w:tc>
              <w:tc>
                <w:tcPr>
                  <w:tcW w:w="709" w:type="dxa"/>
                  <w:shd w:val="clear" w:color="auto" w:fill="auto"/>
                  <w:noWrap/>
                  <w:vAlign w:val="bottom"/>
                  <w:hideMark/>
                </w:tcPr>
                <w:p w14:paraId="001DC8A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w:t>
                  </w:r>
                </w:p>
              </w:tc>
            </w:tr>
            <w:tr w:rsidR="00E447B3" w:rsidRPr="00881A5A" w14:paraId="309A087D" w14:textId="77777777" w:rsidTr="00715628">
              <w:trPr>
                <w:trHeight w:val="300"/>
                <w:jc w:val="center"/>
              </w:trPr>
              <w:tc>
                <w:tcPr>
                  <w:tcW w:w="2795" w:type="dxa"/>
                  <w:shd w:val="clear" w:color="auto" w:fill="auto"/>
                  <w:noWrap/>
                  <w:vAlign w:val="bottom"/>
                  <w:hideMark/>
                </w:tcPr>
                <w:p w14:paraId="6E199710"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Magdalena</w:t>
                  </w:r>
                </w:p>
              </w:tc>
              <w:tc>
                <w:tcPr>
                  <w:tcW w:w="1134" w:type="dxa"/>
                  <w:shd w:val="clear" w:color="auto" w:fill="auto"/>
                  <w:noWrap/>
                  <w:vAlign w:val="bottom"/>
                  <w:hideMark/>
                </w:tcPr>
                <w:p w14:paraId="66C53A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c>
                <w:tcPr>
                  <w:tcW w:w="1134" w:type="dxa"/>
                  <w:shd w:val="clear" w:color="auto" w:fill="auto"/>
                  <w:noWrap/>
                  <w:vAlign w:val="bottom"/>
                  <w:hideMark/>
                </w:tcPr>
                <w:p w14:paraId="37727AB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21</w:t>
                  </w:r>
                </w:p>
              </w:tc>
              <w:tc>
                <w:tcPr>
                  <w:tcW w:w="708" w:type="dxa"/>
                  <w:shd w:val="clear" w:color="auto" w:fill="auto"/>
                  <w:noWrap/>
                  <w:vAlign w:val="bottom"/>
                  <w:hideMark/>
                </w:tcPr>
                <w:p w14:paraId="3DDB093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31</w:t>
                  </w:r>
                </w:p>
              </w:tc>
              <w:tc>
                <w:tcPr>
                  <w:tcW w:w="709" w:type="dxa"/>
                  <w:shd w:val="clear" w:color="auto" w:fill="auto"/>
                  <w:noWrap/>
                  <w:vAlign w:val="bottom"/>
                  <w:hideMark/>
                </w:tcPr>
                <w:p w14:paraId="16FE309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r>
            <w:tr w:rsidR="00E447B3" w:rsidRPr="00881A5A" w14:paraId="00AEEB38" w14:textId="77777777" w:rsidTr="00715628">
              <w:trPr>
                <w:trHeight w:val="300"/>
                <w:jc w:val="center"/>
              </w:trPr>
              <w:tc>
                <w:tcPr>
                  <w:tcW w:w="2795" w:type="dxa"/>
                  <w:shd w:val="clear" w:color="auto" w:fill="auto"/>
                  <w:noWrap/>
                  <w:vAlign w:val="bottom"/>
                  <w:hideMark/>
                </w:tcPr>
                <w:p w14:paraId="204466C6"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Vichada</w:t>
                  </w:r>
                </w:p>
              </w:tc>
              <w:tc>
                <w:tcPr>
                  <w:tcW w:w="1134" w:type="dxa"/>
                  <w:shd w:val="clear" w:color="auto" w:fill="auto"/>
                  <w:noWrap/>
                  <w:vAlign w:val="bottom"/>
                  <w:hideMark/>
                </w:tcPr>
                <w:p w14:paraId="7B2778B7"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c>
                <w:tcPr>
                  <w:tcW w:w="1134" w:type="dxa"/>
                  <w:shd w:val="clear" w:color="auto" w:fill="auto"/>
                  <w:noWrap/>
                  <w:vAlign w:val="bottom"/>
                  <w:hideMark/>
                </w:tcPr>
                <w:p w14:paraId="344F0CE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w:t>
                  </w:r>
                </w:p>
              </w:tc>
              <w:tc>
                <w:tcPr>
                  <w:tcW w:w="708" w:type="dxa"/>
                  <w:shd w:val="clear" w:color="auto" w:fill="auto"/>
                  <w:noWrap/>
                  <w:vAlign w:val="bottom"/>
                  <w:hideMark/>
                </w:tcPr>
                <w:p w14:paraId="57AFB11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28</w:t>
                  </w:r>
                </w:p>
              </w:tc>
              <w:tc>
                <w:tcPr>
                  <w:tcW w:w="709" w:type="dxa"/>
                  <w:shd w:val="clear" w:color="auto" w:fill="auto"/>
                  <w:noWrap/>
                  <w:vAlign w:val="bottom"/>
                  <w:hideMark/>
                </w:tcPr>
                <w:p w14:paraId="0A29CD20"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r>
            <w:tr w:rsidR="00E447B3" w:rsidRPr="00881A5A" w14:paraId="4AAB373E" w14:textId="77777777" w:rsidTr="00715628">
              <w:trPr>
                <w:trHeight w:val="300"/>
                <w:jc w:val="center"/>
              </w:trPr>
              <w:tc>
                <w:tcPr>
                  <w:tcW w:w="2795" w:type="dxa"/>
                  <w:shd w:val="clear" w:color="auto" w:fill="auto"/>
                  <w:noWrap/>
                  <w:vAlign w:val="bottom"/>
                  <w:hideMark/>
                </w:tcPr>
                <w:p w14:paraId="5182655C"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&lt;No Registra&gt;</w:t>
                  </w:r>
                </w:p>
              </w:tc>
              <w:tc>
                <w:tcPr>
                  <w:tcW w:w="1134" w:type="dxa"/>
                  <w:shd w:val="clear" w:color="auto" w:fill="auto"/>
                  <w:noWrap/>
                  <w:vAlign w:val="bottom"/>
                  <w:hideMark/>
                </w:tcPr>
                <w:p w14:paraId="1277661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221</w:t>
                  </w:r>
                </w:p>
              </w:tc>
              <w:tc>
                <w:tcPr>
                  <w:tcW w:w="1134" w:type="dxa"/>
                  <w:shd w:val="clear" w:color="auto" w:fill="auto"/>
                  <w:noWrap/>
                  <w:vAlign w:val="bottom"/>
                  <w:hideMark/>
                </w:tcPr>
                <w:p w14:paraId="09948CB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610</w:t>
                  </w:r>
                </w:p>
              </w:tc>
              <w:tc>
                <w:tcPr>
                  <w:tcW w:w="708" w:type="dxa"/>
                  <w:shd w:val="clear" w:color="auto" w:fill="auto"/>
                  <w:noWrap/>
                  <w:vAlign w:val="bottom"/>
                  <w:hideMark/>
                </w:tcPr>
                <w:p w14:paraId="22E66AA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831</w:t>
                  </w:r>
                </w:p>
              </w:tc>
              <w:tc>
                <w:tcPr>
                  <w:tcW w:w="709" w:type="dxa"/>
                  <w:shd w:val="clear" w:color="auto" w:fill="auto"/>
                  <w:noWrap/>
                  <w:vAlign w:val="bottom"/>
                  <w:hideMark/>
                </w:tcPr>
                <w:p w14:paraId="7C97126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6</w:t>
                  </w:r>
                </w:p>
              </w:tc>
            </w:tr>
            <w:tr w:rsidR="00E447B3" w:rsidRPr="00881A5A" w14:paraId="123EED55" w14:textId="77777777" w:rsidTr="00715628">
              <w:trPr>
                <w:trHeight w:val="300"/>
                <w:jc w:val="center"/>
              </w:trPr>
              <w:tc>
                <w:tcPr>
                  <w:tcW w:w="2795" w:type="dxa"/>
                  <w:shd w:val="clear" w:color="auto" w:fill="auto"/>
                  <w:noWrap/>
                  <w:vAlign w:val="bottom"/>
                  <w:hideMark/>
                </w:tcPr>
                <w:p w14:paraId="2573165F"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Guainía</w:t>
                  </w:r>
                </w:p>
              </w:tc>
              <w:tc>
                <w:tcPr>
                  <w:tcW w:w="1134" w:type="dxa"/>
                  <w:shd w:val="clear" w:color="auto" w:fill="auto"/>
                  <w:noWrap/>
                  <w:vAlign w:val="bottom"/>
                  <w:hideMark/>
                </w:tcPr>
                <w:p w14:paraId="4B2E13F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w:t>
                  </w:r>
                </w:p>
              </w:tc>
              <w:tc>
                <w:tcPr>
                  <w:tcW w:w="1134" w:type="dxa"/>
                  <w:shd w:val="clear" w:color="auto" w:fill="auto"/>
                  <w:noWrap/>
                  <w:vAlign w:val="bottom"/>
                  <w:hideMark/>
                </w:tcPr>
                <w:p w14:paraId="41C1330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w:t>
                  </w:r>
                </w:p>
              </w:tc>
              <w:tc>
                <w:tcPr>
                  <w:tcW w:w="708" w:type="dxa"/>
                  <w:shd w:val="clear" w:color="auto" w:fill="auto"/>
                  <w:noWrap/>
                  <w:vAlign w:val="bottom"/>
                  <w:hideMark/>
                </w:tcPr>
                <w:p w14:paraId="2BCEE816"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18</w:t>
                  </w:r>
                </w:p>
              </w:tc>
              <w:tc>
                <w:tcPr>
                  <w:tcW w:w="709" w:type="dxa"/>
                  <w:shd w:val="clear" w:color="auto" w:fill="auto"/>
                  <w:noWrap/>
                  <w:vAlign w:val="bottom"/>
                  <w:hideMark/>
                </w:tcPr>
                <w:p w14:paraId="3BAA605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7</w:t>
                  </w:r>
                </w:p>
              </w:tc>
            </w:tr>
            <w:tr w:rsidR="00E447B3" w:rsidRPr="00881A5A" w14:paraId="174A54B9" w14:textId="77777777" w:rsidTr="00715628">
              <w:trPr>
                <w:trHeight w:val="300"/>
                <w:jc w:val="center"/>
              </w:trPr>
              <w:tc>
                <w:tcPr>
                  <w:tcW w:w="2795" w:type="dxa"/>
                  <w:shd w:val="clear" w:color="auto" w:fill="auto"/>
                  <w:noWrap/>
                  <w:vAlign w:val="bottom"/>
                  <w:hideMark/>
                </w:tcPr>
                <w:p w14:paraId="132395CC"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Vaupés</w:t>
                  </w:r>
                </w:p>
              </w:tc>
              <w:tc>
                <w:tcPr>
                  <w:tcW w:w="1134" w:type="dxa"/>
                  <w:shd w:val="clear" w:color="auto" w:fill="auto"/>
                  <w:noWrap/>
                  <w:vAlign w:val="bottom"/>
                  <w:hideMark/>
                </w:tcPr>
                <w:p w14:paraId="57366443"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5</w:t>
                  </w:r>
                </w:p>
              </w:tc>
              <w:tc>
                <w:tcPr>
                  <w:tcW w:w="1134" w:type="dxa"/>
                  <w:shd w:val="clear" w:color="auto" w:fill="auto"/>
                  <w:noWrap/>
                  <w:vAlign w:val="bottom"/>
                  <w:hideMark/>
                </w:tcPr>
                <w:p w14:paraId="5CB13E2C"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11</w:t>
                  </w:r>
                </w:p>
              </w:tc>
              <w:tc>
                <w:tcPr>
                  <w:tcW w:w="708" w:type="dxa"/>
                  <w:shd w:val="clear" w:color="auto" w:fill="auto"/>
                  <w:noWrap/>
                  <w:vAlign w:val="bottom"/>
                  <w:hideMark/>
                </w:tcPr>
                <w:p w14:paraId="16AB040A"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16</w:t>
                  </w:r>
                </w:p>
              </w:tc>
              <w:tc>
                <w:tcPr>
                  <w:tcW w:w="709" w:type="dxa"/>
                  <w:shd w:val="clear" w:color="auto" w:fill="auto"/>
                  <w:noWrap/>
                  <w:vAlign w:val="bottom"/>
                  <w:hideMark/>
                </w:tcPr>
                <w:p w14:paraId="39C6B63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14</w:t>
                  </w:r>
                </w:p>
              </w:tc>
            </w:tr>
            <w:tr w:rsidR="00E447B3" w:rsidRPr="00881A5A" w14:paraId="292BF92C" w14:textId="77777777" w:rsidTr="00715628">
              <w:trPr>
                <w:trHeight w:val="300"/>
                <w:jc w:val="center"/>
              </w:trPr>
              <w:tc>
                <w:tcPr>
                  <w:tcW w:w="2795" w:type="dxa"/>
                  <w:shd w:val="clear" w:color="auto" w:fill="auto"/>
                  <w:noWrap/>
                  <w:vAlign w:val="bottom"/>
                  <w:hideMark/>
                </w:tcPr>
                <w:p w14:paraId="19A0FBC6"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Amazonas</w:t>
                  </w:r>
                </w:p>
              </w:tc>
              <w:tc>
                <w:tcPr>
                  <w:tcW w:w="1134" w:type="dxa"/>
                  <w:shd w:val="clear" w:color="auto" w:fill="auto"/>
                  <w:noWrap/>
                  <w:vAlign w:val="bottom"/>
                  <w:hideMark/>
                </w:tcPr>
                <w:p w14:paraId="4FE7A81B"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c>
                <w:tcPr>
                  <w:tcW w:w="1134" w:type="dxa"/>
                  <w:shd w:val="clear" w:color="auto" w:fill="auto"/>
                  <w:noWrap/>
                  <w:vAlign w:val="bottom"/>
                  <w:hideMark/>
                </w:tcPr>
                <w:p w14:paraId="0528F119"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9</w:t>
                  </w:r>
                </w:p>
              </w:tc>
              <w:tc>
                <w:tcPr>
                  <w:tcW w:w="708" w:type="dxa"/>
                  <w:shd w:val="clear" w:color="auto" w:fill="auto"/>
                  <w:noWrap/>
                  <w:vAlign w:val="bottom"/>
                  <w:hideMark/>
                </w:tcPr>
                <w:p w14:paraId="0EB6050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10</w:t>
                  </w:r>
                </w:p>
              </w:tc>
              <w:tc>
                <w:tcPr>
                  <w:tcW w:w="709" w:type="dxa"/>
                  <w:shd w:val="clear" w:color="auto" w:fill="auto"/>
                  <w:noWrap/>
                  <w:vAlign w:val="bottom"/>
                  <w:hideMark/>
                </w:tcPr>
                <w:p w14:paraId="77EBB92D"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4</w:t>
                  </w:r>
                </w:p>
              </w:tc>
            </w:tr>
            <w:tr w:rsidR="00E447B3" w:rsidRPr="00881A5A" w14:paraId="6B223269" w14:textId="77777777" w:rsidTr="00715628">
              <w:trPr>
                <w:trHeight w:val="615"/>
                <w:jc w:val="center"/>
              </w:trPr>
              <w:tc>
                <w:tcPr>
                  <w:tcW w:w="2795" w:type="dxa"/>
                  <w:shd w:val="clear" w:color="auto" w:fill="auto"/>
                  <w:vAlign w:val="bottom"/>
                  <w:hideMark/>
                </w:tcPr>
                <w:p w14:paraId="1702D059" w14:textId="77777777" w:rsidR="00E447B3" w:rsidRPr="00881A5A" w:rsidRDefault="00E447B3" w:rsidP="00E447B3">
                  <w:pPr>
                    <w:spacing w:after="0" w:line="240" w:lineRule="auto"/>
                    <w:rPr>
                      <w:rFonts w:eastAsia="Times New Roman"/>
                      <w:color w:val="000000"/>
                      <w:lang w:eastAsia="es-CO"/>
                    </w:rPr>
                  </w:pPr>
                  <w:r w:rsidRPr="00881A5A">
                    <w:rPr>
                      <w:rFonts w:eastAsia="Times New Roman"/>
                      <w:color w:val="000000"/>
                      <w:lang w:eastAsia="es-CO"/>
                    </w:rPr>
                    <w:t>Archipiélago de San Andrés. Providencia y Santa Catalina</w:t>
                  </w:r>
                </w:p>
              </w:tc>
              <w:tc>
                <w:tcPr>
                  <w:tcW w:w="1134" w:type="dxa"/>
                  <w:shd w:val="clear" w:color="auto" w:fill="auto"/>
                  <w:noWrap/>
                  <w:vAlign w:val="bottom"/>
                  <w:hideMark/>
                </w:tcPr>
                <w:p w14:paraId="61FFA51F"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0</w:t>
                  </w:r>
                </w:p>
              </w:tc>
              <w:tc>
                <w:tcPr>
                  <w:tcW w:w="1134" w:type="dxa"/>
                  <w:shd w:val="clear" w:color="auto" w:fill="auto"/>
                  <w:noWrap/>
                  <w:vAlign w:val="bottom"/>
                  <w:hideMark/>
                </w:tcPr>
                <w:p w14:paraId="276E7858"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c>
                <w:tcPr>
                  <w:tcW w:w="708" w:type="dxa"/>
                  <w:shd w:val="clear" w:color="auto" w:fill="auto"/>
                  <w:noWrap/>
                  <w:vAlign w:val="bottom"/>
                  <w:hideMark/>
                </w:tcPr>
                <w:p w14:paraId="540B98E4"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1</w:t>
                  </w:r>
                </w:p>
              </w:tc>
              <w:tc>
                <w:tcPr>
                  <w:tcW w:w="709" w:type="dxa"/>
                  <w:shd w:val="clear" w:color="auto" w:fill="auto"/>
                  <w:noWrap/>
                  <w:vAlign w:val="bottom"/>
                  <w:hideMark/>
                </w:tcPr>
                <w:p w14:paraId="5BF54342" w14:textId="77777777" w:rsidR="00E447B3" w:rsidRPr="00881A5A" w:rsidRDefault="00E447B3" w:rsidP="00E447B3">
                  <w:pPr>
                    <w:spacing w:after="0" w:line="240" w:lineRule="auto"/>
                    <w:jc w:val="right"/>
                    <w:rPr>
                      <w:rFonts w:eastAsia="Times New Roman"/>
                      <w:color w:val="000000"/>
                      <w:lang w:eastAsia="es-CO"/>
                    </w:rPr>
                  </w:pPr>
                  <w:r w:rsidRPr="00881A5A">
                    <w:rPr>
                      <w:rFonts w:eastAsia="Times New Roman"/>
                      <w:color w:val="000000"/>
                      <w:lang w:eastAsia="es-CO"/>
                    </w:rPr>
                    <w:t>0</w:t>
                  </w:r>
                </w:p>
              </w:tc>
            </w:tr>
          </w:tbl>
          <w:p w14:paraId="19F4D484" w14:textId="77777777" w:rsidR="00E447B3" w:rsidRPr="00681113" w:rsidRDefault="00E447B3" w:rsidP="00E447B3">
            <w:pPr>
              <w:jc w:val="center"/>
              <w:rPr>
                <w:rFonts w:cstheme="minorHAnsi"/>
                <w:b/>
                <w:i/>
                <w:u w:val="single"/>
              </w:rPr>
            </w:pPr>
            <w:r w:rsidRPr="00793A34">
              <w:rPr>
                <w:rFonts w:cstheme="minorHAnsi"/>
                <w:i/>
                <w:sz w:val="16"/>
                <w:szCs w:val="16"/>
              </w:rPr>
              <w:t xml:space="preserve">Fuente: </w:t>
            </w:r>
            <w:r>
              <w:rPr>
                <w:rFonts w:cstheme="minorHAnsi"/>
                <w:i/>
                <w:sz w:val="16"/>
                <w:szCs w:val="16"/>
              </w:rPr>
              <w:t>Subdirección de Seguimiento. Corte 31 de diciembre de 2021</w:t>
            </w:r>
          </w:p>
          <w:p w14:paraId="608994DB" w14:textId="77777777" w:rsidR="00E447B3" w:rsidRPr="00854A1D" w:rsidRDefault="00E447B3" w:rsidP="00E447B3">
            <w:pPr>
              <w:rPr>
                <w:rFonts w:cstheme="minorHAnsi"/>
                <w:b/>
                <w:i/>
                <w:u w:val="single"/>
              </w:rPr>
            </w:pPr>
          </w:p>
          <w:p w14:paraId="19208BA6" w14:textId="77777777" w:rsidR="00E447B3" w:rsidRPr="005E54D9" w:rsidRDefault="00E447B3" w:rsidP="00631DF4">
            <w:pPr>
              <w:pStyle w:val="Prrafodelista"/>
              <w:numPr>
                <w:ilvl w:val="0"/>
                <w:numId w:val="30"/>
              </w:numPr>
              <w:rPr>
                <w:rFonts w:cstheme="minorHAnsi"/>
                <w:b/>
                <w:u w:val="single"/>
              </w:rPr>
            </w:pPr>
            <w:r w:rsidRPr="005E54D9">
              <w:rPr>
                <w:rFonts w:cstheme="minorHAnsi"/>
                <w:b/>
                <w:u w:val="single"/>
              </w:rPr>
              <w:t>Consejos Territoriales De Reincorporación</w:t>
            </w:r>
          </w:p>
          <w:p w14:paraId="109A1CF9" w14:textId="77777777" w:rsidR="00E447B3" w:rsidRDefault="00E447B3" w:rsidP="00E447B3">
            <w:pPr>
              <w:rPr>
                <w:rFonts w:cstheme="minorHAnsi"/>
              </w:rPr>
            </w:pPr>
          </w:p>
          <w:p w14:paraId="035642BE" w14:textId="77777777" w:rsidR="00E447B3" w:rsidRDefault="00E447B3" w:rsidP="00E447B3">
            <w:pPr>
              <w:rPr>
                <w:rFonts w:cstheme="minorHAnsi"/>
              </w:rPr>
            </w:pPr>
            <w:r w:rsidRPr="00377266">
              <w:rPr>
                <w:rFonts w:cstheme="minorHAnsi"/>
              </w:rPr>
              <w:t xml:space="preserve">Las acciones relacionadas a la atención de las personas se han desarrollado en los 24 antiguos Espacios Territoriales de Capacitación y Reincorporación –ETCR, donde se encuentran ubicados los </w:t>
            </w:r>
            <w:r>
              <w:rPr>
                <w:rFonts w:cstheme="minorHAnsi"/>
              </w:rPr>
              <w:t>ex integrantes</w:t>
            </w:r>
            <w:r w:rsidRPr="00377266">
              <w:rPr>
                <w:rFonts w:cstheme="minorHAnsi"/>
              </w:rPr>
              <w:t xml:space="preserve"> - FARC, así como en cualquier parte del país donde se encuentre ubicada la población beneficiaria.</w:t>
            </w:r>
          </w:p>
          <w:p w14:paraId="1F4B350A" w14:textId="77777777" w:rsidR="00E447B3" w:rsidRDefault="00E447B3" w:rsidP="00E447B3">
            <w:pPr>
              <w:jc w:val="both"/>
              <w:rPr>
                <w:rFonts w:cs="Arial"/>
                <w:i/>
                <w:sz w:val="24"/>
                <w:szCs w:val="24"/>
                <w:lang w:val="es-ES"/>
              </w:rPr>
            </w:pPr>
          </w:p>
          <w:p w14:paraId="233E7516" w14:textId="77777777" w:rsidR="00E447B3" w:rsidRDefault="00E447B3" w:rsidP="00E447B3">
            <w:pPr>
              <w:rPr>
                <w:rFonts w:cstheme="minorHAnsi"/>
              </w:rPr>
            </w:pPr>
            <w:r>
              <w:rPr>
                <w:rFonts w:cstheme="minorHAnsi"/>
              </w:rPr>
              <w:t xml:space="preserve">Los Consejos Territoriales de Reincorporación en funcionamiento se ubican en los territorios donde se encuentran los 24 antiguos ETCR. </w:t>
            </w:r>
          </w:p>
          <w:p w14:paraId="2E1E862A" w14:textId="77777777" w:rsidR="00E447B3" w:rsidRDefault="00E447B3" w:rsidP="00E447B3">
            <w:pPr>
              <w:rPr>
                <w:rFonts w:cstheme="minorHAnsi"/>
              </w:rPr>
            </w:pPr>
          </w:p>
          <w:p w14:paraId="640DC36F" w14:textId="77777777" w:rsidR="00E447B3" w:rsidRPr="00541049" w:rsidRDefault="00E447B3" w:rsidP="00631DF4">
            <w:pPr>
              <w:pStyle w:val="Prrafodelista"/>
              <w:numPr>
                <w:ilvl w:val="0"/>
                <w:numId w:val="31"/>
              </w:numPr>
              <w:rPr>
                <w:rFonts w:cstheme="minorHAnsi"/>
                <w:b/>
                <w:u w:val="single"/>
                <w:lang w:val="es-ES"/>
              </w:rPr>
            </w:pPr>
            <w:r w:rsidRPr="00541049">
              <w:rPr>
                <w:rFonts w:cstheme="minorHAnsi"/>
                <w:b/>
                <w:u w:val="single"/>
                <w:lang w:val="es-ES"/>
              </w:rPr>
              <w:t>Programa de atención especial para discapacitados del conflicto con incapacidad permanente y adultos mayores, que gestione recursos de cooperación no reembolsable internacional y de instituciones no gubernamentales para su realización, creado</w:t>
            </w:r>
          </w:p>
          <w:p w14:paraId="7F0F72C8" w14:textId="77777777" w:rsidR="00E447B3" w:rsidRDefault="00E447B3" w:rsidP="00E447B3">
            <w:pPr>
              <w:jc w:val="both"/>
              <w:rPr>
                <w:i/>
                <w:sz w:val="24"/>
                <w:szCs w:val="24"/>
              </w:rPr>
            </w:pPr>
          </w:p>
          <w:p w14:paraId="0EB34D5C" w14:textId="77777777" w:rsidR="00E447B3" w:rsidRPr="004034B5" w:rsidRDefault="00E447B3" w:rsidP="00E447B3">
            <w:pPr>
              <w:jc w:val="both"/>
            </w:pPr>
            <w:r w:rsidRPr="004034B5">
              <w:t xml:space="preserve">La certificación de discapacidad </w:t>
            </w:r>
            <w:r w:rsidRPr="00C409FB">
              <w:t>de 1.203personas fue la principal acción territorializada del Programa Capazcidades. Logrando el siguiente resultado</w:t>
            </w:r>
            <w:r w:rsidRPr="004034B5">
              <w:t>:</w:t>
            </w:r>
          </w:p>
          <w:p w14:paraId="0FAB68B7" w14:textId="77777777" w:rsidR="00E447B3" w:rsidRPr="004034B5" w:rsidRDefault="00E447B3" w:rsidP="00E447B3">
            <w:pPr>
              <w:pStyle w:val="Prrafodelista"/>
            </w:pPr>
          </w:p>
          <w:tbl>
            <w:tblPr>
              <w:tblW w:w="3639" w:type="dxa"/>
              <w:jc w:val="center"/>
              <w:tblCellMar>
                <w:left w:w="70" w:type="dxa"/>
                <w:right w:w="70" w:type="dxa"/>
              </w:tblCellMar>
              <w:tblLook w:val="04A0" w:firstRow="1" w:lastRow="0" w:firstColumn="1" w:lastColumn="0" w:noHBand="0" w:noVBand="1"/>
            </w:tblPr>
            <w:tblGrid>
              <w:gridCol w:w="2020"/>
              <w:gridCol w:w="1619"/>
            </w:tblGrid>
            <w:tr w:rsidR="00E447B3" w:rsidRPr="00452D72" w14:paraId="48BD1568" w14:textId="77777777" w:rsidTr="00715628">
              <w:trPr>
                <w:trHeight w:val="900"/>
                <w:tblHeader/>
                <w:jc w:val="center"/>
              </w:trPr>
              <w:tc>
                <w:tcPr>
                  <w:tcW w:w="202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DDCE0FD" w14:textId="77777777" w:rsidR="00E447B3" w:rsidRPr="00452D72" w:rsidRDefault="00E447B3" w:rsidP="00E447B3">
                  <w:pPr>
                    <w:spacing w:after="0" w:line="240" w:lineRule="auto"/>
                    <w:jc w:val="center"/>
                    <w:rPr>
                      <w:rFonts w:eastAsia="Times New Roman" w:cs="Times New Roman"/>
                      <w:b/>
                      <w:bCs/>
                      <w:color w:val="000000"/>
                      <w:lang w:eastAsia="es-CO"/>
                    </w:rPr>
                  </w:pPr>
                  <w:r w:rsidRPr="00452D72">
                    <w:rPr>
                      <w:rFonts w:eastAsia="Times New Roman" w:cs="Times New Roman"/>
                      <w:b/>
                      <w:bCs/>
                      <w:color w:val="000000"/>
                      <w:lang w:eastAsia="es-CO"/>
                    </w:rPr>
                    <w:lastRenderedPageBreak/>
                    <w:t>DEPARTAMENTO</w:t>
                  </w:r>
                </w:p>
              </w:tc>
              <w:tc>
                <w:tcPr>
                  <w:tcW w:w="1619" w:type="dxa"/>
                  <w:tcBorders>
                    <w:top w:val="single" w:sz="4" w:space="0" w:color="auto"/>
                    <w:left w:val="nil"/>
                    <w:bottom w:val="single" w:sz="4" w:space="0" w:color="auto"/>
                    <w:right w:val="single" w:sz="4" w:space="0" w:color="auto"/>
                  </w:tcBorders>
                  <w:shd w:val="clear" w:color="000000" w:fill="B4C6E7"/>
                  <w:vAlign w:val="center"/>
                  <w:hideMark/>
                </w:tcPr>
                <w:p w14:paraId="5DB01FB4" w14:textId="77777777" w:rsidR="00E447B3" w:rsidRPr="00452D72" w:rsidRDefault="00E447B3" w:rsidP="00E447B3">
                  <w:pPr>
                    <w:spacing w:after="0" w:line="240" w:lineRule="auto"/>
                    <w:jc w:val="center"/>
                    <w:rPr>
                      <w:rFonts w:eastAsia="Times New Roman" w:cs="Times New Roman"/>
                      <w:b/>
                      <w:bCs/>
                      <w:color w:val="000000"/>
                      <w:lang w:eastAsia="es-CO"/>
                    </w:rPr>
                  </w:pPr>
                  <w:r w:rsidRPr="00452D72">
                    <w:rPr>
                      <w:rFonts w:eastAsia="Times New Roman" w:cs="Times New Roman"/>
                      <w:b/>
                      <w:bCs/>
                      <w:color w:val="000000"/>
                      <w:lang w:eastAsia="es-CO"/>
                    </w:rPr>
                    <w:t>NUMERO DE BENEFICIADOS</w:t>
                  </w:r>
                </w:p>
              </w:tc>
            </w:tr>
            <w:tr w:rsidR="00E447B3" w:rsidRPr="00452D72" w14:paraId="6D965085"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8EB0888" w14:textId="77777777" w:rsidR="00E447B3" w:rsidRPr="00452D72" w:rsidRDefault="00E447B3" w:rsidP="00E447B3">
                  <w:pPr>
                    <w:spacing w:after="0" w:line="240" w:lineRule="auto"/>
                    <w:rPr>
                      <w:rFonts w:eastAsia="Times New Roman" w:cs="Times New Roman"/>
                      <w:color w:val="000000"/>
                      <w:lang w:eastAsia="es-CO"/>
                    </w:rPr>
                  </w:pPr>
                  <w:r>
                    <w:rPr>
                      <w:color w:val="000000"/>
                    </w:rPr>
                    <w:t>Antioquia</w:t>
                  </w:r>
                </w:p>
              </w:tc>
              <w:tc>
                <w:tcPr>
                  <w:tcW w:w="1619" w:type="dxa"/>
                  <w:tcBorders>
                    <w:top w:val="nil"/>
                    <w:left w:val="nil"/>
                    <w:bottom w:val="single" w:sz="4" w:space="0" w:color="auto"/>
                    <w:right w:val="single" w:sz="4" w:space="0" w:color="auto"/>
                  </w:tcBorders>
                  <w:shd w:val="clear" w:color="auto" w:fill="auto"/>
                  <w:noWrap/>
                  <w:vAlign w:val="center"/>
                  <w:hideMark/>
                </w:tcPr>
                <w:p w14:paraId="0BB3036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142</w:t>
                  </w:r>
                </w:p>
              </w:tc>
            </w:tr>
            <w:tr w:rsidR="00E447B3" w:rsidRPr="00452D72" w14:paraId="2F1CE24F"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A9BF0CF" w14:textId="77777777" w:rsidR="00E447B3" w:rsidRPr="00452D72" w:rsidRDefault="00E447B3" w:rsidP="00E447B3">
                  <w:pPr>
                    <w:spacing w:after="0" w:line="240" w:lineRule="auto"/>
                    <w:rPr>
                      <w:rFonts w:eastAsia="Times New Roman" w:cs="Times New Roman"/>
                      <w:color w:val="000000"/>
                      <w:lang w:eastAsia="es-CO"/>
                    </w:rPr>
                  </w:pPr>
                  <w:r>
                    <w:rPr>
                      <w:color w:val="000000"/>
                    </w:rPr>
                    <w:t>Arauca</w:t>
                  </w:r>
                </w:p>
              </w:tc>
              <w:tc>
                <w:tcPr>
                  <w:tcW w:w="1619" w:type="dxa"/>
                  <w:tcBorders>
                    <w:top w:val="nil"/>
                    <w:left w:val="nil"/>
                    <w:bottom w:val="single" w:sz="4" w:space="0" w:color="auto"/>
                    <w:right w:val="single" w:sz="4" w:space="0" w:color="auto"/>
                  </w:tcBorders>
                  <w:shd w:val="clear" w:color="auto" w:fill="auto"/>
                  <w:noWrap/>
                  <w:vAlign w:val="center"/>
                  <w:hideMark/>
                </w:tcPr>
                <w:p w14:paraId="0B71FDA9"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87</w:t>
                  </w:r>
                </w:p>
              </w:tc>
            </w:tr>
            <w:tr w:rsidR="00E447B3" w:rsidRPr="00452D72" w14:paraId="30FC6E42"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222C718" w14:textId="77777777" w:rsidR="00E447B3" w:rsidRPr="00452D72" w:rsidRDefault="00E447B3" w:rsidP="00E447B3">
                  <w:pPr>
                    <w:spacing w:after="0" w:line="240" w:lineRule="auto"/>
                    <w:rPr>
                      <w:rFonts w:eastAsia="Times New Roman" w:cs="Times New Roman"/>
                      <w:color w:val="000000"/>
                      <w:lang w:eastAsia="es-CO"/>
                    </w:rPr>
                  </w:pPr>
                  <w:r>
                    <w:rPr>
                      <w:color w:val="000000"/>
                    </w:rPr>
                    <w:t>Atlántico</w:t>
                  </w:r>
                </w:p>
              </w:tc>
              <w:tc>
                <w:tcPr>
                  <w:tcW w:w="1619" w:type="dxa"/>
                  <w:tcBorders>
                    <w:top w:val="nil"/>
                    <w:left w:val="nil"/>
                    <w:bottom w:val="single" w:sz="4" w:space="0" w:color="auto"/>
                    <w:right w:val="single" w:sz="4" w:space="0" w:color="auto"/>
                  </w:tcBorders>
                  <w:shd w:val="clear" w:color="auto" w:fill="auto"/>
                  <w:noWrap/>
                  <w:vAlign w:val="center"/>
                  <w:hideMark/>
                </w:tcPr>
                <w:p w14:paraId="0B3CA7C2"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15</w:t>
                  </w:r>
                </w:p>
              </w:tc>
            </w:tr>
            <w:tr w:rsidR="00E447B3" w:rsidRPr="00452D72" w14:paraId="46635449"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F1EADF6" w14:textId="77777777" w:rsidR="00E447B3" w:rsidRPr="00452D72" w:rsidRDefault="00E447B3" w:rsidP="00E447B3">
                  <w:pPr>
                    <w:spacing w:after="0" w:line="240" w:lineRule="auto"/>
                    <w:rPr>
                      <w:rFonts w:eastAsia="Times New Roman" w:cs="Times New Roman"/>
                      <w:color w:val="000000"/>
                      <w:lang w:eastAsia="es-CO"/>
                    </w:rPr>
                  </w:pPr>
                  <w:r>
                    <w:rPr>
                      <w:color w:val="000000"/>
                    </w:rPr>
                    <w:t>Bogotá, D.C.</w:t>
                  </w:r>
                </w:p>
              </w:tc>
              <w:tc>
                <w:tcPr>
                  <w:tcW w:w="1619" w:type="dxa"/>
                  <w:tcBorders>
                    <w:top w:val="nil"/>
                    <w:left w:val="nil"/>
                    <w:bottom w:val="single" w:sz="4" w:space="0" w:color="auto"/>
                    <w:right w:val="single" w:sz="4" w:space="0" w:color="auto"/>
                  </w:tcBorders>
                  <w:shd w:val="clear" w:color="auto" w:fill="auto"/>
                  <w:noWrap/>
                  <w:vAlign w:val="center"/>
                  <w:hideMark/>
                </w:tcPr>
                <w:p w14:paraId="370498B6"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57</w:t>
                  </w:r>
                </w:p>
              </w:tc>
            </w:tr>
            <w:tr w:rsidR="00E447B3" w:rsidRPr="00452D72" w14:paraId="2C290174"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BA54A03" w14:textId="77777777" w:rsidR="00E447B3" w:rsidRPr="00452D72" w:rsidRDefault="00E447B3" w:rsidP="00E447B3">
                  <w:pPr>
                    <w:spacing w:after="0" w:line="240" w:lineRule="auto"/>
                    <w:rPr>
                      <w:rFonts w:eastAsia="Times New Roman" w:cs="Times New Roman"/>
                      <w:color w:val="000000"/>
                      <w:lang w:eastAsia="es-CO"/>
                    </w:rPr>
                  </w:pPr>
                  <w:r>
                    <w:rPr>
                      <w:color w:val="000000"/>
                    </w:rPr>
                    <w:t>Bolívar</w:t>
                  </w:r>
                </w:p>
              </w:tc>
              <w:tc>
                <w:tcPr>
                  <w:tcW w:w="1619" w:type="dxa"/>
                  <w:tcBorders>
                    <w:top w:val="nil"/>
                    <w:left w:val="nil"/>
                    <w:bottom w:val="single" w:sz="4" w:space="0" w:color="auto"/>
                    <w:right w:val="single" w:sz="4" w:space="0" w:color="auto"/>
                  </w:tcBorders>
                  <w:shd w:val="clear" w:color="auto" w:fill="auto"/>
                  <w:noWrap/>
                  <w:vAlign w:val="center"/>
                  <w:hideMark/>
                </w:tcPr>
                <w:p w14:paraId="3F153898"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23</w:t>
                  </w:r>
                </w:p>
              </w:tc>
            </w:tr>
            <w:tr w:rsidR="00E447B3" w:rsidRPr="00452D72" w14:paraId="224DE79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C2977A3" w14:textId="77777777" w:rsidR="00E447B3" w:rsidRPr="00452D72" w:rsidRDefault="00E447B3" w:rsidP="00E447B3">
                  <w:pPr>
                    <w:spacing w:after="0" w:line="240" w:lineRule="auto"/>
                    <w:rPr>
                      <w:rFonts w:eastAsia="Times New Roman" w:cs="Times New Roman"/>
                      <w:color w:val="000000"/>
                      <w:lang w:eastAsia="es-CO"/>
                    </w:rPr>
                  </w:pPr>
                  <w:r>
                    <w:rPr>
                      <w:color w:val="000000"/>
                    </w:rPr>
                    <w:t>Boyacá</w:t>
                  </w:r>
                </w:p>
              </w:tc>
              <w:tc>
                <w:tcPr>
                  <w:tcW w:w="1619" w:type="dxa"/>
                  <w:tcBorders>
                    <w:top w:val="nil"/>
                    <w:left w:val="nil"/>
                    <w:bottom w:val="single" w:sz="4" w:space="0" w:color="auto"/>
                    <w:right w:val="single" w:sz="4" w:space="0" w:color="auto"/>
                  </w:tcBorders>
                  <w:shd w:val="clear" w:color="auto" w:fill="auto"/>
                  <w:noWrap/>
                  <w:vAlign w:val="center"/>
                  <w:hideMark/>
                </w:tcPr>
                <w:p w14:paraId="1DDF8068"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w:t>
                  </w:r>
                </w:p>
              </w:tc>
            </w:tr>
            <w:tr w:rsidR="00E447B3" w:rsidRPr="00452D72" w14:paraId="780E9C02"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1BAE646" w14:textId="77777777" w:rsidR="00E447B3" w:rsidRPr="00452D72" w:rsidRDefault="00E447B3" w:rsidP="00E447B3">
                  <w:pPr>
                    <w:spacing w:after="0" w:line="240" w:lineRule="auto"/>
                    <w:rPr>
                      <w:rFonts w:eastAsia="Times New Roman" w:cs="Times New Roman"/>
                      <w:color w:val="000000"/>
                      <w:lang w:eastAsia="es-CO"/>
                    </w:rPr>
                  </w:pPr>
                  <w:r>
                    <w:rPr>
                      <w:color w:val="000000"/>
                    </w:rPr>
                    <w:t>Caldas</w:t>
                  </w:r>
                </w:p>
              </w:tc>
              <w:tc>
                <w:tcPr>
                  <w:tcW w:w="1619" w:type="dxa"/>
                  <w:tcBorders>
                    <w:top w:val="nil"/>
                    <w:left w:val="nil"/>
                    <w:bottom w:val="single" w:sz="4" w:space="0" w:color="auto"/>
                    <w:right w:val="single" w:sz="4" w:space="0" w:color="auto"/>
                  </w:tcBorders>
                  <w:shd w:val="clear" w:color="auto" w:fill="auto"/>
                  <w:noWrap/>
                  <w:vAlign w:val="center"/>
                  <w:hideMark/>
                </w:tcPr>
                <w:p w14:paraId="1A20D16A"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w:t>
                  </w:r>
                </w:p>
              </w:tc>
            </w:tr>
            <w:tr w:rsidR="00E447B3" w:rsidRPr="00452D72" w14:paraId="180F4E40" w14:textId="77777777" w:rsidTr="00715628">
              <w:trPr>
                <w:trHeight w:val="221"/>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383E406" w14:textId="77777777" w:rsidR="00E447B3" w:rsidRPr="00452D72" w:rsidRDefault="00E447B3" w:rsidP="00E447B3">
                  <w:pPr>
                    <w:spacing w:after="0" w:line="240" w:lineRule="auto"/>
                    <w:rPr>
                      <w:rFonts w:eastAsia="Times New Roman" w:cs="Times New Roman"/>
                      <w:color w:val="000000"/>
                      <w:lang w:eastAsia="es-CO"/>
                    </w:rPr>
                  </w:pPr>
                  <w:r>
                    <w:rPr>
                      <w:color w:val="000000"/>
                    </w:rPr>
                    <w:t>Caquetá</w:t>
                  </w:r>
                </w:p>
              </w:tc>
              <w:tc>
                <w:tcPr>
                  <w:tcW w:w="1619" w:type="dxa"/>
                  <w:tcBorders>
                    <w:top w:val="nil"/>
                    <w:left w:val="nil"/>
                    <w:bottom w:val="single" w:sz="4" w:space="0" w:color="auto"/>
                    <w:right w:val="single" w:sz="4" w:space="0" w:color="auto"/>
                  </w:tcBorders>
                  <w:shd w:val="clear" w:color="auto" w:fill="auto"/>
                  <w:noWrap/>
                  <w:vAlign w:val="center"/>
                  <w:hideMark/>
                </w:tcPr>
                <w:p w14:paraId="55CF983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117</w:t>
                  </w:r>
                </w:p>
              </w:tc>
            </w:tr>
            <w:tr w:rsidR="00E447B3" w:rsidRPr="00452D72" w14:paraId="21A94672"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E399FAE" w14:textId="77777777" w:rsidR="00E447B3" w:rsidRPr="00452D72" w:rsidRDefault="00E447B3" w:rsidP="00E447B3">
                  <w:pPr>
                    <w:spacing w:after="0" w:line="240" w:lineRule="auto"/>
                    <w:rPr>
                      <w:rFonts w:eastAsia="Times New Roman" w:cs="Times New Roman"/>
                      <w:color w:val="000000"/>
                      <w:lang w:eastAsia="es-CO"/>
                    </w:rPr>
                  </w:pPr>
                  <w:r>
                    <w:rPr>
                      <w:color w:val="000000"/>
                    </w:rPr>
                    <w:t>Casanare</w:t>
                  </w:r>
                </w:p>
              </w:tc>
              <w:tc>
                <w:tcPr>
                  <w:tcW w:w="1619" w:type="dxa"/>
                  <w:tcBorders>
                    <w:top w:val="nil"/>
                    <w:left w:val="nil"/>
                    <w:bottom w:val="single" w:sz="4" w:space="0" w:color="auto"/>
                    <w:right w:val="single" w:sz="4" w:space="0" w:color="auto"/>
                  </w:tcBorders>
                  <w:shd w:val="clear" w:color="auto" w:fill="auto"/>
                  <w:noWrap/>
                  <w:vAlign w:val="center"/>
                  <w:hideMark/>
                </w:tcPr>
                <w:p w14:paraId="23AF930E"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5</w:t>
                  </w:r>
                </w:p>
              </w:tc>
            </w:tr>
            <w:tr w:rsidR="00E447B3" w:rsidRPr="00452D72" w14:paraId="2D92B09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6004C64" w14:textId="77777777" w:rsidR="00E447B3" w:rsidRPr="00452D72" w:rsidRDefault="00E447B3" w:rsidP="00E447B3">
                  <w:pPr>
                    <w:spacing w:after="0" w:line="240" w:lineRule="auto"/>
                    <w:rPr>
                      <w:rFonts w:eastAsia="Times New Roman" w:cs="Times New Roman"/>
                      <w:color w:val="000000"/>
                      <w:lang w:eastAsia="es-CO"/>
                    </w:rPr>
                  </w:pPr>
                  <w:r>
                    <w:rPr>
                      <w:color w:val="000000"/>
                    </w:rPr>
                    <w:t>Cauca</w:t>
                  </w:r>
                </w:p>
              </w:tc>
              <w:tc>
                <w:tcPr>
                  <w:tcW w:w="1619" w:type="dxa"/>
                  <w:tcBorders>
                    <w:top w:val="nil"/>
                    <w:left w:val="nil"/>
                    <w:bottom w:val="single" w:sz="4" w:space="0" w:color="auto"/>
                    <w:right w:val="single" w:sz="4" w:space="0" w:color="auto"/>
                  </w:tcBorders>
                  <w:shd w:val="clear" w:color="auto" w:fill="auto"/>
                  <w:noWrap/>
                  <w:vAlign w:val="center"/>
                  <w:hideMark/>
                </w:tcPr>
                <w:p w14:paraId="047F956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9</w:t>
                  </w:r>
                  <w:r>
                    <w:rPr>
                      <w:rFonts w:eastAsia="Times New Roman" w:cs="Times New Roman"/>
                      <w:color w:val="000000"/>
                      <w:lang w:eastAsia="es-CO"/>
                    </w:rPr>
                    <w:t>2</w:t>
                  </w:r>
                </w:p>
              </w:tc>
            </w:tr>
            <w:tr w:rsidR="00E447B3" w:rsidRPr="00452D72" w14:paraId="24C7888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F8D381E" w14:textId="77777777" w:rsidR="00E447B3" w:rsidRPr="00452D72" w:rsidRDefault="00E447B3" w:rsidP="00E447B3">
                  <w:pPr>
                    <w:spacing w:after="0" w:line="240" w:lineRule="auto"/>
                    <w:rPr>
                      <w:rFonts w:eastAsia="Times New Roman" w:cs="Times New Roman"/>
                      <w:color w:val="000000"/>
                      <w:lang w:eastAsia="es-CO"/>
                    </w:rPr>
                  </w:pPr>
                  <w:r>
                    <w:rPr>
                      <w:color w:val="000000"/>
                    </w:rPr>
                    <w:t>Cesar</w:t>
                  </w:r>
                </w:p>
              </w:tc>
              <w:tc>
                <w:tcPr>
                  <w:tcW w:w="1619" w:type="dxa"/>
                  <w:tcBorders>
                    <w:top w:val="nil"/>
                    <w:left w:val="nil"/>
                    <w:bottom w:val="single" w:sz="4" w:space="0" w:color="auto"/>
                    <w:right w:val="single" w:sz="4" w:space="0" w:color="auto"/>
                  </w:tcBorders>
                  <w:shd w:val="clear" w:color="auto" w:fill="auto"/>
                  <w:noWrap/>
                  <w:vAlign w:val="center"/>
                  <w:hideMark/>
                </w:tcPr>
                <w:p w14:paraId="17AEB7A2"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33</w:t>
                  </w:r>
                </w:p>
              </w:tc>
            </w:tr>
            <w:tr w:rsidR="00E447B3" w:rsidRPr="00452D72" w14:paraId="52485A2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5CCC815" w14:textId="77777777" w:rsidR="00E447B3" w:rsidRPr="00452D72" w:rsidRDefault="00E447B3" w:rsidP="00E447B3">
                  <w:pPr>
                    <w:spacing w:after="0" w:line="240" w:lineRule="auto"/>
                    <w:rPr>
                      <w:rFonts w:eastAsia="Times New Roman" w:cs="Times New Roman"/>
                      <w:color w:val="000000"/>
                      <w:lang w:eastAsia="es-CO"/>
                    </w:rPr>
                  </w:pPr>
                  <w:r>
                    <w:rPr>
                      <w:color w:val="000000"/>
                    </w:rPr>
                    <w:t>Chocó</w:t>
                  </w:r>
                </w:p>
              </w:tc>
              <w:tc>
                <w:tcPr>
                  <w:tcW w:w="1619" w:type="dxa"/>
                  <w:tcBorders>
                    <w:top w:val="nil"/>
                    <w:left w:val="nil"/>
                    <w:bottom w:val="single" w:sz="4" w:space="0" w:color="auto"/>
                    <w:right w:val="single" w:sz="4" w:space="0" w:color="auto"/>
                  </w:tcBorders>
                  <w:shd w:val="clear" w:color="auto" w:fill="auto"/>
                  <w:noWrap/>
                  <w:vAlign w:val="center"/>
                  <w:hideMark/>
                </w:tcPr>
                <w:p w14:paraId="6C2493D6"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20</w:t>
                  </w:r>
                </w:p>
              </w:tc>
            </w:tr>
            <w:tr w:rsidR="00E447B3" w:rsidRPr="00452D72" w14:paraId="4C05E4FD"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CB742BD" w14:textId="77777777" w:rsidR="00E447B3" w:rsidRPr="00452D72" w:rsidRDefault="00E447B3" w:rsidP="00E447B3">
                  <w:pPr>
                    <w:spacing w:after="0" w:line="240" w:lineRule="auto"/>
                    <w:rPr>
                      <w:rFonts w:eastAsia="Times New Roman" w:cs="Times New Roman"/>
                      <w:color w:val="000000"/>
                      <w:lang w:eastAsia="es-CO"/>
                    </w:rPr>
                  </w:pPr>
                  <w:r>
                    <w:rPr>
                      <w:color w:val="000000"/>
                    </w:rPr>
                    <w:t>Córdoba</w:t>
                  </w:r>
                </w:p>
              </w:tc>
              <w:tc>
                <w:tcPr>
                  <w:tcW w:w="1619" w:type="dxa"/>
                  <w:tcBorders>
                    <w:top w:val="nil"/>
                    <w:left w:val="nil"/>
                    <w:bottom w:val="single" w:sz="4" w:space="0" w:color="auto"/>
                    <w:right w:val="single" w:sz="4" w:space="0" w:color="auto"/>
                  </w:tcBorders>
                  <w:shd w:val="clear" w:color="auto" w:fill="auto"/>
                  <w:noWrap/>
                  <w:vAlign w:val="center"/>
                  <w:hideMark/>
                </w:tcPr>
                <w:p w14:paraId="5D882BD1"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5</w:t>
                  </w:r>
                </w:p>
              </w:tc>
            </w:tr>
            <w:tr w:rsidR="00E447B3" w:rsidRPr="00452D72" w14:paraId="2A94F86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92EA59D" w14:textId="77777777" w:rsidR="00E447B3" w:rsidRPr="00452D72" w:rsidRDefault="00E447B3" w:rsidP="00E447B3">
                  <w:pPr>
                    <w:spacing w:after="0" w:line="240" w:lineRule="auto"/>
                    <w:rPr>
                      <w:rFonts w:eastAsia="Times New Roman" w:cs="Times New Roman"/>
                      <w:color w:val="000000"/>
                      <w:lang w:eastAsia="es-CO"/>
                    </w:rPr>
                  </w:pPr>
                  <w:r>
                    <w:rPr>
                      <w:color w:val="000000"/>
                    </w:rPr>
                    <w:t>Cundinamarca</w:t>
                  </w:r>
                </w:p>
              </w:tc>
              <w:tc>
                <w:tcPr>
                  <w:tcW w:w="1619" w:type="dxa"/>
                  <w:tcBorders>
                    <w:top w:val="nil"/>
                    <w:left w:val="nil"/>
                    <w:bottom w:val="single" w:sz="4" w:space="0" w:color="auto"/>
                    <w:right w:val="single" w:sz="4" w:space="0" w:color="auto"/>
                  </w:tcBorders>
                  <w:shd w:val="clear" w:color="auto" w:fill="auto"/>
                  <w:noWrap/>
                  <w:vAlign w:val="center"/>
                  <w:hideMark/>
                </w:tcPr>
                <w:p w14:paraId="2D943A7F"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14</w:t>
                  </w:r>
                </w:p>
              </w:tc>
            </w:tr>
            <w:tr w:rsidR="00E447B3" w:rsidRPr="00452D72" w14:paraId="1B55CB7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00A27DD" w14:textId="77777777" w:rsidR="00E447B3" w:rsidRPr="00452D72" w:rsidRDefault="00E447B3" w:rsidP="00E447B3">
                  <w:pPr>
                    <w:spacing w:after="0" w:line="240" w:lineRule="auto"/>
                    <w:rPr>
                      <w:rFonts w:eastAsia="Times New Roman" w:cs="Times New Roman"/>
                      <w:color w:val="000000"/>
                      <w:lang w:eastAsia="es-CO"/>
                    </w:rPr>
                  </w:pPr>
                  <w:r>
                    <w:rPr>
                      <w:color w:val="000000"/>
                    </w:rPr>
                    <w:t>Guainía</w:t>
                  </w:r>
                </w:p>
              </w:tc>
              <w:tc>
                <w:tcPr>
                  <w:tcW w:w="1619" w:type="dxa"/>
                  <w:tcBorders>
                    <w:top w:val="nil"/>
                    <w:left w:val="nil"/>
                    <w:bottom w:val="single" w:sz="4" w:space="0" w:color="auto"/>
                    <w:right w:val="single" w:sz="4" w:space="0" w:color="auto"/>
                  </w:tcBorders>
                  <w:shd w:val="clear" w:color="auto" w:fill="auto"/>
                  <w:noWrap/>
                  <w:vAlign w:val="center"/>
                  <w:hideMark/>
                </w:tcPr>
                <w:p w14:paraId="10A815B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w:t>
                  </w:r>
                </w:p>
              </w:tc>
            </w:tr>
            <w:tr w:rsidR="00E447B3" w:rsidRPr="00452D72" w14:paraId="314444C6"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56AB692" w14:textId="77777777" w:rsidR="00E447B3" w:rsidRPr="00452D72" w:rsidRDefault="00E447B3" w:rsidP="00E447B3">
                  <w:pPr>
                    <w:spacing w:after="0" w:line="240" w:lineRule="auto"/>
                    <w:rPr>
                      <w:rFonts w:eastAsia="Times New Roman" w:cs="Times New Roman"/>
                      <w:color w:val="000000"/>
                      <w:lang w:eastAsia="es-CO"/>
                    </w:rPr>
                  </w:pPr>
                  <w:r>
                    <w:rPr>
                      <w:color w:val="000000"/>
                    </w:rPr>
                    <w:t>Guaviare</w:t>
                  </w:r>
                </w:p>
              </w:tc>
              <w:tc>
                <w:tcPr>
                  <w:tcW w:w="1619" w:type="dxa"/>
                  <w:tcBorders>
                    <w:top w:val="nil"/>
                    <w:left w:val="nil"/>
                    <w:bottom w:val="single" w:sz="4" w:space="0" w:color="auto"/>
                    <w:right w:val="single" w:sz="4" w:space="0" w:color="auto"/>
                  </w:tcBorders>
                  <w:shd w:val="clear" w:color="auto" w:fill="auto"/>
                  <w:noWrap/>
                  <w:vAlign w:val="center"/>
                  <w:hideMark/>
                </w:tcPr>
                <w:p w14:paraId="29EAD6EE"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4</w:t>
                  </w:r>
                  <w:r>
                    <w:rPr>
                      <w:rFonts w:eastAsia="Times New Roman" w:cs="Times New Roman"/>
                      <w:color w:val="000000"/>
                      <w:lang w:eastAsia="es-CO"/>
                    </w:rPr>
                    <w:t>5</w:t>
                  </w:r>
                </w:p>
              </w:tc>
            </w:tr>
            <w:tr w:rsidR="00E447B3" w:rsidRPr="00452D72" w14:paraId="4E9C05C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30F3161" w14:textId="77777777" w:rsidR="00E447B3" w:rsidRPr="00452D72" w:rsidRDefault="00E447B3" w:rsidP="00E447B3">
                  <w:pPr>
                    <w:spacing w:after="0" w:line="240" w:lineRule="auto"/>
                    <w:rPr>
                      <w:rFonts w:eastAsia="Times New Roman" w:cs="Times New Roman"/>
                      <w:color w:val="000000"/>
                      <w:lang w:eastAsia="es-CO"/>
                    </w:rPr>
                  </w:pPr>
                  <w:r>
                    <w:rPr>
                      <w:color w:val="000000"/>
                    </w:rPr>
                    <w:t>Huila</w:t>
                  </w:r>
                </w:p>
              </w:tc>
              <w:tc>
                <w:tcPr>
                  <w:tcW w:w="1619" w:type="dxa"/>
                  <w:tcBorders>
                    <w:top w:val="nil"/>
                    <w:left w:val="nil"/>
                    <w:bottom w:val="single" w:sz="4" w:space="0" w:color="auto"/>
                    <w:right w:val="single" w:sz="4" w:space="0" w:color="auto"/>
                  </w:tcBorders>
                  <w:shd w:val="clear" w:color="auto" w:fill="auto"/>
                  <w:noWrap/>
                  <w:vAlign w:val="center"/>
                  <w:hideMark/>
                </w:tcPr>
                <w:p w14:paraId="18E61ABA"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68</w:t>
                  </w:r>
                </w:p>
              </w:tc>
            </w:tr>
            <w:tr w:rsidR="00E447B3" w:rsidRPr="00452D72" w14:paraId="1D09D6DD"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2972DBD" w14:textId="77777777" w:rsidR="00E447B3" w:rsidRPr="00452D72" w:rsidRDefault="00E447B3" w:rsidP="00E447B3">
                  <w:pPr>
                    <w:spacing w:after="0" w:line="240" w:lineRule="auto"/>
                    <w:rPr>
                      <w:rFonts w:eastAsia="Times New Roman" w:cs="Times New Roman"/>
                      <w:color w:val="000000"/>
                      <w:lang w:eastAsia="es-CO"/>
                    </w:rPr>
                  </w:pPr>
                  <w:r>
                    <w:rPr>
                      <w:color w:val="000000"/>
                    </w:rPr>
                    <w:t>La Guajira</w:t>
                  </w:r>
                </w:p>
              </w:tc>
              <w:tc>
                <w:tcPr>
                  <w:tcW w:w="1619" w:type="dxa"/>
                  <w:tcBorders>
                    <w:top w:val="nil"/>
                    <w:left w:val="nil"/>
                    <w:bottom w:val="single" w:sz="4" w:space="0" w:color="auto"/>
                    <w:right w:val="single" w:sz="4" w:space="0" w:color="auto"/>
                  </w:tcBorders>
                  <w:shd w:val="clear" w:color="auto" w:fill="auto"/>
                  <w:noWrap/>
                  <w:vAlign w:val="center"/>
                  <w:hideMark/>
                </w:tcPr>
                <w:p w14:paraId="0CC28235"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45</w:t>
                  </w:r>
                </w:p>
              </w:tc>
            </w:tr>
            <w:tr w:rsidR="00E447B3" w:rsidRPr="00452D72" w14:paraId="1B34C7F7"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D84AB30" w14:textId="77777777" w:rsidR="00E447B3" w:rsidRPr="00452D72" w:rsidRDefault="00E447B3" w:rsidP="00E447B3">
                  <w:pPr>
                    <w:spacing w:after="0" w:line="240" w:lineRule="auto"/>
                    <w:rPr>
                      <w:rFonts w:eastAsia="Times New Roman" w:cs="Times New Roman"/>
                      <w:color w:val="000000"/>
                      <w:lang w:eastAsia="es-CO"/>
                    </w:rPr>
                  </w:pPr>
                  <w:r>
                    <w:rPr>
                      <w:color w:val="000000"/>
                    </w:rPr>
                    <w:t>Magdalena</w:t>
                  </w:r>
                </w:p>
              </w:tc>
              <w:tc>
                <w:tcPr>
                  <w:tcW w:w="1619" w:type="dxa"/>
                  <w:tcBorders>
                    <w:top w:val="nil"/>
                    <w:left w:val="nil"/>
                    <w:bottom w:val="single" w:sz="4" w:space="0" w:color="auto"/>
                    <w:right w:val="single" w:sz="4" w:space="0" w:color="auto"/>
                  </w:tcBorders>
                  <w:shd w:val="clear" w:color="auto" w:fill="auto"/>
                  <w:noWrap/>
                  <w:vAlign w:val="center"/>
                  <w:hideMark/>
                </w:tcPr>
                <w:p w14:paraId="05A80E2F"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w:t>
                  </w:r>
                </w:p>
              </w:tc>
            </w:tr>
            <w:tr w:rsidR="00E447B3" w:rsidRPr="00452D72" w14:paraId="4665E84A"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2E80C9F" w14:textId="77777777" w:rsidR="00E447B3" w:rsidRPr="00452D72" w:rsidRDefault="00E447B3" w:rsidP="00E447B3">
                  <w:pPr>
                    <w:spacing w:after="0" w:line="240" w:lineRule="auto"/>
                    <w:rPr>
                      <w:rFonts w:eastAsia="Times New Roman" w:cs="Times New Roman"/>
                      <w:color w:val="000000"/>
                      <w:lang w:eastAsia="es-CO"/>
                    </w:rPr>
                  </w:pPr>
                  <w:r>
                    <w:rPr>
                      <w:color w:val="000000"/>
                    </w:rPr>
                    <w:t>Meta</w:t>
                  </w:r>
                </w:p>
              </w:tc>
              <w:tc>
                <w:tcPr>
                  <w:tcW w:w="1619" w:type="dxa"/>
                  <w:tcBorders>
                    <w:top w:val="nil"/>
                    <w:left w:val="nil"/>
                    <w:bottom w:val="single" w:sz="4" w:space="0" w:color="auto"/>
                    <w:right w:val="single" w:sz="4" w:space="0" w:color="auto"/>
                  </w:tcBorders>
                  <w:shd w:val="clear" w:color="auto" w:fill="auto"/>
                  <w:noWrap/>
                  <w:vAlign w:val="center"/>
                  <w:hideMark/>
                </w:tcPr>
                <w:p w14:paraId="2B390AF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137</w:t>
                  </w:r>
                </w:p>
              </w:tc>
            </w:tr>
            <w:tr w:rsidR="00E447B3" w:rsidRPr="00452D72" w14:paraId="44514011"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E8D3AD2" w14:textId="77777777" w:rsidR="00E447B3" w:rsidRPr="00452D72" w:rsidRDefault="00E447B3" w:rsidP="00E447B3">
                  <w:pPr>
                    <w:spacing w:after="0" w:line="240" w:lineRule="auto"/>
                    <w:rPr>
                      <w:rFonts w:eastAsia="Times New Roman" w:cs="Times New Roman"/>
                      <w:color w:val="000000"/>
                      <w:lang w:eastAsia="es-CO"/>
                    </w:rPr>
                  </w:pPr>
                  <w:r>
                    <w:rPr>
                      <w:color w:val="000000"/>
                    </w:rPr>
                    <w:t>Nariño</w:t>
                  </w:r>
                </w:p>
              </w:tc>
              <w:tc>
                <w:tcPr>
                  <w:tcW w:w="1619" w:type="dxa"/>
                  <w:tcBorders>
                    <w:top w:val="nil"/>
                    <w:left w:val="nil"/>
                    <w:bottom w:val="single" w:sz="4" w:space="0" w:color="auto"/>
                    <w:right w:val="single" w:sz="4" w:space="0" w:color="auto"/>
                  </w:tcBorders>
                  <w:shd w:val="clear" w:color="auto" w:fill="auto"/>
                  <w:noWrap/>
                  <w:vAlign w:val="center"/>
                  <w:hideMark/>
                </w:tcPr>
                <w:p w14:paraId="1B165F4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23</w:t>
                  </w:r>
                </w:p>
              </w:tc>
            </w:tr>
            <w:tr w:rsidR="00E447B3" w:rsidRPr="00452D72" w14:paraId="3DAEA5B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C13A4E3" w14:textId="77777777" w:rsidR="00E447B3" w:rsidRPr="00452D72" w:rsidRDefault="00E447B3" w:rsidP="00E447B3">
                  <w:pPr>
                    <w:spacing w:after="0" w:line="240" w:lineRule="auto"/>
                    <w:rPr>
                      <w:rFonts w:eastAsia="Times New Roman" w:cs="Times New Roman"/>
                      <w:color w:val="000000"/>
                      <w:lang w:eastAsia="es-CO"/>
                    </w:rPr>
                  </w:pPr>
                  <w:r>
                    <w:rPr>
                      <w:color w:val="000000"/>
                    </w:rPr>
                    <w:t>Norte De Santander</w:t>
                  </w:r>
                </w:p>
              </w:tc>
              <w:tc>
                <w:tcPr>
                  <w:tcW w:w="1619" w:type="dxa"/>
                  <w:tcBorders>
                    <w:top w:val="nil"/>
                    <w:left w:val="nil"/>
                    <w:bottom w:val="single" w:sz="4" w:space="0" w:color="auto"/>
                    <w:right w:val="single" w:sz="4" w:space="0" w:color="auto"/>
                  </w:tcBorders>
                  <w:shd w:val="clear" w:color="auto" w:fill="auto"/>
                  <w:noWrap/>
                  <w:vAlign w:val="center"/>
                  <w:hideMark/>
                </w:tcPr>
                <w:p w14:paraId="18A99B11"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19</w:t>
                  </w:r>
                </w:p>
              </w:tc>
            </w:tr>
            <w:tr w:rsidR="00E447B3" w:rsidRPr="00452D72" w14:paraId="497DFB6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7018C681" w14:textId="77777777" w:rsidR="00E447B3" w:rsidRPr="00452D72" w:rsidRDefault="00E447B3" w:rsidP="00E447B3">
                  <w:pPr>
                    <w:spacing w:after="0" w:line="240" w:lineRule="auto"/>
                    <w:rPr>
                      <w:rFonts w:eastAsia="Times New Roman" w:cs="Times New Roman"/>
                      <w:color w:val="000000"/>
                      <w:lang w:eastAsia="es-CO"/>
                    </w:rPr>
                  </w:pPr>
                  <w:r>
                    <w:rPr>
                      <w:color w:val="000000"/>
                    </w:rPr>
                    <w:t>Putumayo</w:t>
                  </w:r>
                </w:p>
              </w:tc>
              <w:tc>
                <w:tcPr>
                  <w:tcW w:w="1619" w:type="dxa"/>
                  <w:tcBorders>
                    <w:top w:val="nil"/>
                    <w:left w:val="nil"/>
                    <w:bottom w:val="single" w:sz="4" w:space="0" w:color="auto"/>
                    <w:right w:val="single" w:sz="4" w:space="0" w:color="auto"/>
                  </w:tcBorders>
                  <w:shd w:val="clear" w:color="auto" w:fill="auto"/>
                  <w:noWrap/>
                  <w:vAlign w:val="center"/>
                  <w:hideMark/>
                </w:tcPr>
                <w:p w14:paraId="01843F5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27</w:t>
                  </w:r>
                </w:p>
              </w:tc>
            </w:tr>
            <w:tr w:rsidR="00E447B3" w:rsidRPr="00452D72" w14:paraId="5084F28B"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121F390" w14:textId="77777777" w:rsidR="00E447B3" w:rsidRPr="00452D72" w:rsidRDefault="00E447B3" w:rsidP="00E447B3">
                  <w:pPr>
                    <w:spacing w:after="0" w:line="240" w:lineRule="auto"/>
                    <w:rPr>
                      <w:rFonts w:eastAsia="Times New Roman" w:cs="Times New Roman"/>
                      <w:color w:val="000000"/>
                      <w:lang w:eastAsia="es-CO"/>
                    </w:rPr>
                  </w:pPr>
                  <w:r>
                    <w:rPr>
                      <w:color w:val="000000"/>
                    </w:rPr>
                    <w:t>Quindío</w:t>
                  </w:r>
                </w:p>
              </w:tc>
              <w:tc>
                <w:tcPr>
                  <w:tcW w:w="1619" w:type="dxa"/>
                  <w:tcBorders>
                    <w:top w:val="nil"/>
                    <w:left w:val="nil"/>
                    <w:bottom w:val="single" w:sz="4" w:space="0" w:color="auto"/>
                    <w:right w:val="single" w:sz="4" w:space="0" w:color="auto"/>
                  </w:tcBorders>
                  <w:shd w:val="clear" w:color="auto" w:fill="auto"/>
                  <w:noWrap/>
                  <w:vAlign w:val="center"/>
                  <w:hideMark/>
                </w:tcPr>
                <w:p w14:paraId="0E899E27"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w:t>
                  </w:r>
                </w:p>
              </w:tc>
            </w:tr>
            <w:tr w:rsidR="00E447B3" w:rsidRPr="00452D72" w14:paraId="7358AC89"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759A291" w14:textId="77777777" w:rsidR="00E447B3" w:rsidRPr="00452D72" w:rsidRDefault="00E447B3" w:rsidP="00E447B3">
                  <w:pPr>
                    <w:spacing w:after="0" w:line="240" w:lineRule="auto"/>
                    <w:rPr>
                      <w:rFonts w:eastAsia="Times New Roman" w:cs="Times New Roman"/>
                      <w:color w:val="000000"/>
                      <w:lang w:eastAsia="es-CO"/>
                    </w:rPr>
                  </w:pPr>
                  <w:r>
                    <w:rPr>
                      <w:color w:val="000000"/>
                    </w:rPr>
                    <w:t>Risaralda</w:t>
                  </w:r>
                </w:p>
              </w:tc>
              <w:tc>
                <w:tcPr>
                  <w:tcW w:w="1619" w:type="dxa"/>
                  <w:tcBorders>
                    <w:top w:val="nil"/>
                    <w:left w:val="nil"/>
                    <w:bottom w:val="single" w:sz="4" w:space="0" w:color="auto"/>
                    <w:right w:val="single" w:sz="4" w:space="0" w:color="auto"/>
                  </w:tcBorders>
                  <w:shd w:val="clear" w:color="auto" w:fill="auto"/>
                  <w:noWrap/>
                  <w:vAlign w:val="center"/>
                  <w:hideMark/>
                </w:tcPr>
                <w:p w14:paraId="64BE4B39"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8</w:t>
                  </w:r>
                </w:p>
              </w:tc>
            </w:tr>
            <w:tr w:rsidR="00E447B3" w:rsidRPr="00452D72" w14:paraId="3EDD2569"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BDFF404" w14:textId="77777777" w:rsidR="00E447B3" w:rsidRPr="00452D72" w:rsidRDefault="00E447B3" w:rsidP="00E447B3">
                  <w:pPr>
                    <w:spacing w:after="0" w:line="240" w:lineRule="auto"/>
                    <w:rPr>
                      <w:rFonts w:eastAsia="Times New Roman" w:cs="Times New Roman"/>
                      <w:color w:val="000000"/>
                      <w:lang w:eastAsia="es-CO"/>
                    </w:rPr>
                  </w:pPr>
                  <w:r>
                    <w:rPr>
                      <w:color w:val="000000"/>
                    </w:rPr>
                    <w:t>Santander</w:t>
                  </w:r>
                </w:p>
              </w:tc>
              <w:tc>
                <w:tcPr>
                  <w:tcW w:w="1619" w:type="dxa"/>
                  <w:tcBorders>
                    <w:top w:val="nil"/>
                    <w:left w:val="nil"/>
                    <w:bottom w:val="single" w:sz="4" w:space="0" w:color="auto"/>
                    <w:right w:val="single" w:sz="4" w:space="0" w:color="auto"/>
                  </w:tcBorders>
                  <w:shd w:val="clear" w:color="auto" w:fill="auto"/>
                  <w:noWrap/>
                  <w:vAlign w:val="center"/>
                  <w:hideMark/>
                </w:tcPr>
                <w:p w14:paraId="49A0F4D3"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32</w:t>
                  </w:r>
                </w:p>
              </w:tc>
            </w:tr>
            <w:tr w:rsidR="00E447B3" w:rsidRPr="00452D72" w14:paraId="3B148231"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4F0F00E" w14:textId="77777777" w:rsidR="00E447B3" w:rsidRPr="00452D72" w:rsidRDefault="00E447B3" w:rsidP="00E447B3">
                  <w:pPr>
                    <w:spacing w:after="0" w:line="240" w:lineRule="auto"/>
                    <w:rPr>
                      <w:rFonts w:eastAsia="Times New Roman" w:cs="Times New Roman"/>
                      <w:color w:val="000000"/>
                      <w:lang w:eastAsia="es-CO"/>
                    </w:rPr>
                  </w:pPr>
                  <w:r>
                    <w:rPr>
                      <w:color w:val="000000"/>
                    </w:rPr>
                    <w:t>Sucre</w:t>
                  </w:r>
                </w:p>
              </w:tc>
              <w:tc>
                <w:tcPr>
                  <w:tcW w:w="1619" w:type="dxa"/>
                  <w:tcBorders>
                    <w:top w:val="nil"/>
                    <w:left w:val="nil"/>
                    <w:bottom w:val="single" w:sz="4" w:space="0" w:color="auto"/>
                    <w:right w:val="single" w:sz="4" w:space="0" w:color="auto"/>
                  </w:tcBorders>
                  <w:shd w:val="clear" w:color="auto" w:fill="auto"/>
                  <w:noWrap/>
                  <w:vAlign w:val="center"/>
                  <w:hideMark/>
                </w:tcPr>
                <w:p w14:paraId="6A362ACA"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11</w:t>
                  </w:r>
                </w:p>
              </w:tc>
            </w:tr>
            <w:tr w:rsidR="00E447B3" w:rsidRPr="00452D72" w14:paraId="62AC82EE"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CD3607A" w14:textId="77777777" w:rsidR="00E447B3" w:rsidRPr="00452D72" w:rsidRDefault="00E447B3" w:rsidP="00E447B3">
                  <w:pPr>
                    <w:spacing w:after="0" w:line="240" w:lineRule="auto"/>
                    <w:rPr>
                      <w:rFonts w:eastAsia="Times New Roman" w:cs="Times New Roman"/>
                      <w:color w:val="000000"/>
                      <w:lang w:eastAsia="es-CO"/>
                    </w:rPr>
                  </w:pPr>
                  <w:r>
                    <w:rPr>
                      <w:color w:val="000000"/>
                    </w:rPr>
                    <w:t>Tolima</w:t>
                  </w:r>
                </w:p>
              </w:tc>
              <w:tc>
                <w:tcPr>
                  <w:tcW w:w="1619" w:type="dxa"/>
                  <w:tcBorders>
                    <w:top w:val="nil"/>
                    <w:left w:val="nil"/>
                    <w:bottom w:val="single" w:sz="4" w:space="0" w:color="auto"/>
                    <w:right w:val="single" w:sz="4" w:space="0" w:color="auto"/>
                  </w:tcBorders>
                  <w:shd w:val="clear" w:color="auto" w:fill="auto"/>
                  <w:noWrap/>
                  <w:vAlign w:val="center"/>
                  <w:hideMark/>
                </w:tcPr>
                <w:p w14:paraId="7428F784"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127</w:t>
                  </w:r>
                </w:p>
              </w:tc>
            </w:tr>
            <w:tr w:rsidR="00E447B3" w:rsidRPr="00452D72" w14:paraId="7A161AC5"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F27C798" w14:textId="77777777" w:rsidR="00E447B3" w:rsidRPr="00452D72" w:rsidRDefault="00E447B3" w:rsidP="00E447B3">
                  <w:pPr>
                    <w:spacing w:after="0" w:line="240" w:lineRule="auto"/>
                    <w:rPr>
                      <w:rFonts w:eastAsia="Times New Roman" w:cs="Times New Roman"/>
                      <w:color w:val="000000"/>
                      <w:lang w:eastAsia="es-CO"/>
                    </w:rPr>
                  </w:pPr>
                  <w:r>
                    <w:rPr>
                      <w:color w:val="000000"/>
                    </w:rPr>
                    <w:t>Valle Del Cauca</w:t>
                  </w:r>
                </w:p>
              </w:tc>
              <w:tc>
                <w:tcPr>
                  <w:tcW w:w="1619" w:type="dxa"/>
                  <w:tcBorders>
                    <w:top w:val="nil"/>
                    <w:left w:val="nil"/>
                    <w:bottom w:val="single" w:sz="4" w:space="0" w:color="auto"/>
                    <w:right w:val="single" w:sz="4" w:space="0" w:color="auto"/>
                  </w:tcBorders>
                  <w:shd w:val="clear" w:color="auto" w:fill="auto"/>
                  <w:noWrap/>
                  <w:vAlign w:val="center"/>
                  <w:hideMark/>
                </w:tcPr>
                <w:p w14:paraId="0420D19D"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37</w:t>
                  </w:r>
                </w:p>
              </w:tc>
            </w:tr>
            <w:tr w:rsidR="00E447B3" w:rsidRPr="00452D72" w14:paraId="0BC616B1"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D0DF43F" w14:textId="77777777" w:rsidR="00E447B3" w:rsidRPr="00452D72" w:rsidRDefault="00E447B3" w:rsidP="00E447B3">
                  <w:pPr>
                    <w:spacing w:after="0" w:line="240" w:lineRule="auto"/>
                    <w:rPr>
                      <w:rFonts w:eastAsia="Times New Roman" w:cs="Times New Roman"/>
                      <w:color w:val="000000"/>
                      <w:lang w:eastAsia="es-CO"/>
                    </w:rPr>
                  </w:pPr>
                  <w:r>
                    <w:rPr>
                      <w:color w:val="000000"/>
                    </w:rPr>
                    <w:t>Vaupés</w:t>
                  </w:r>
                </w:p>
              </w:tc>
              <w:tc>
                <w:tcPr>
                  <w:tcW w:w="1619" w:type="dxa"/>
                  <w:tcBorders>
                    <w:top w:val="nil"/>
                    <w:left w:val="nil"/>
                    <w:bottom w:val="single" w:sz="4" w:space="0" w:color="auto"/>
                    <w:right w:val="single" w:sz="4" w:space="0" w:color="auto"/>
                  </w:tcBorders>
                  <w:shd w:val="clear" w:color="auto" w:fill="auto"/>
                  <w:noWrap/>
                  <w:vAlign w:val="center"/>
                  <w:hideMark/>
                </w:tcPr>
                <w:p w14:paraId="5B5FF851"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w:t>
                  </w:r>
                </w:p>
              </w:tc>
            </w:tr>
            <w:tr w:rsidR="00E447B3" w:rsidRPr="00452D72" w14:paraId="475EB9C8"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496140EB" w14:textId="77777777" w:rsidR="00E447B3" w:rsidRPr="00452D72" w:rsidRDefault="00E447B3" w:rsidP="00E447B3">
                  <w:pPr>
                    <w:spacing w:after="0" w:line="240" w:lineRule="auto"/>
                    <w:rPr>
                      <w:rFonts w:eastAsia="Times New Roman" w:cs="Times New Roman"/>
                      <w:color w:val="000000"/>
                      <w:lang w:eastAsia="es-CO"/>
                    </w:rPr>
                  </w:pPr>
                  <w:r>
                    <w:rPr>
                      <w:color w:val="000000"/>
                    </w:rPr>
                    <w:t xml:space="preserve">Vichada          </w:t>
                  </w:r>
                </w:p>
              </w:tc>
              <w:tc>
                <w:tcPr>
                  <w:tcW w:w="1619" w:type="dxa"/>
                  <w:tcBorders>
                    <w:top w:val="nil"/>
                    <w:left w:val="nil"/>
                    <w:bottom w:val="single" w:sz="4" w:space="0" w:color="auto"/>
                    <w:right w:val="single" w:sz="4" w:space="0" w:color="auto"/>
                  </w:tcBorders>
                  <w:shd w:val="clear" w:color="auto" w:fill="auto"/>
                  <w:noWrap/>
                  <w:vAlign w:val="center"/>
                  <w:hideMark/>
                </w:tcPr>
                <w:p w14:paraId="33044F30" w14:textId="77777777" w:rsidR="00E447B3" w:rsidRPr="00452D72" w:rsidRDefault="00E447B3" w:rsidP="00E447B3">
                  <w:pPr>
                    <w:spacing w:after="0" w:line="240" w:lineRule="auto"/>
                    <w:ind w:firstLineChars="500" w:firstLine="1100"/>
                    <w:rPr>
                      <w:rFonts w:eastAsia="Times New Roman" w:cs="Times New Roman"/>
                      <w:color w:val="000000"/>
                      <w:lang w:eastAsia="es-CO"/>
                    </w:rPr>
                  </w:pPr>
                  <w:r w:rsidRPr="00452D72">
                    <w:rPr>
                      <w:rFonts w:eastAsia="Times New Roman" w:cs="Times New Roman"/>
                      <w:color w:val="000000"/>
                      <w:lang w:eastAsia="es-CO"/>
                    </w:rPr>
                    <w:t>1</w:t>
                  </w:r>
                </w:p>
              </w:tc>
            </w:tr>
            <w:tr w:rsidR="00E447B3" w:rsidRPr="00452D72" w14:paraId="22509ED3" w14:textId="77777777" w:rsidTr="00715628">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80A033A" w14:textId="77777777" w:rsidR="00E447B3" w:rsidRPr="00452D72" w:rsidRDefault="00E447B3" w:rsidP="00E447B3">
                  <w:pPr>
                    <w:spacing w:after="0" w:line="240" w:lineRule="auto"/>
                    <w:rPr>
                      <w:rFonts w:eastAsia="Times New Roman" w:cs="Times New Roman"/>
                      <w:b/>
                      <w:bCs/>
                      <w:color w:val="000000"/>
                      <w:lang w:eastAsia="es-CO"/>
                    </w:rPr>
                  </w:pPr>
                  <w:r w:rsidRPr="00452D72">
                    <w:rPr>
                      <w:rFonts w:eastAsia="Symbol" w:cs="Symbol"/>
                      <w:b/>
                      <w:bCs/>
                      <w:color w:val="000000"/>
                      <w:lang w:eastAsia="es-CO"/>
                    </w:rPr>
                    <w:t>Total general</w:t>
                  </w:r>
                </w:p>
              </w:tc>
              <w:tc>
                <w:tcPr>
                  <w:tcW w:w="1619" w:type="dxa"/>
                  <w:tcBorders>
                    <w:top w:val="nil"/>
                    <w:left w:val="nil"/>
                    <w:bottom w:val="single" w:sz="4" w:space="0" w:color="auto"/>
                    <w:right w:val="single" w:sz="4" w:space="0" w:color="auto"/>
                  </w:tcBorders>
                  <w:shd w:val="clear" w:color="auto" w:fill="auto"/>
                  <w:noWrap/>
                  <w:vAlign w:val="center"/>
                  <w:hideMark/>
                </w:tcPr>
                <w:p w14:paraId="532A8C2E" w14:textId="77777777" w:rsidR="00E447B3" w:rsidRPr="00452D72" w:rsidRDefault="00E447B3" w:rsidP="00E447B3">
                  <w:pPr>
                    <w:spacing w:after="0" w:line="240" w:lineRule="auto"/>
                    <w:jc w:val="center"/>
                    <w:rPr>
                      <w:rFonts w:eastAsia="Times New Roman" w:cs="Times New Roman"/>
                      <w:b/>
                      <w:bCs/>
                      <w:color w:val="000000"/>
                      <w:lang w:eastAsia="es-CO"/>
                    </w:rPr>
                  </w:pPr>
                  <w:r w:rsidRPr="00C409FB">
                    <w:rPr>
                      <w:rFonts w:eastAsia="Times New Roman" w:cs="Times New Roman"/>
                      <w:b/>
                      <w:bCs/>
                      <w:color w:val="000000"/>
                      <w:lang w:eastAsia="es-CO"/>
                    </w:rPr>
                    <w:t>1.203</w:t>
                  </w:r>
                </w:p>
              </w:tc>
            </w:tr>
          </w:tbl>
          <w:p w14:paraId="7E052053" w14:textId="77777777" w:rsidR="00E447B3" w:rsidRDefault="00E447B3" w:rsidP="00E447B3">
            <w:pPr>
              <w:jc w:val="both"/>
              <w:rPr>
                <w:sz w:val="24"/>
                <w:szCs w:val="24"/>
              </w:rPr>
            </w:pPr>
          </w:p>
        </w:tc>
      </w:tr>
      <w:tr w:rsidR="00E447B3" w14:paraId="2589A091" w14:textId="77777777" w:rsidTr="00E447B3">
        <w:tc>
          <w:tcPr>
            <w:tcW w:w="1731" w:type="dxa"/>
            <w:tcBorders>
              <w:top w:val="single" w:sz="4" w:space="0" w:color="0070C0"/>
              <w:left w:val="single" w:sz="4" w:space="0" w:color="0070C0"/>
              <w:bottom w:val="single" w:sz="4" w:space="0" w:color="0070C0"/>
              <w:right w:val="nil"/>
            </w:tcBorders>
            <w:vAlign w:val="center"/>
            <w:hideMark/>
          </w:tcPr>
          <w:p w14:paraId="53BE0EE4" w14:textId="77777777" w:rsidR="00E447B3" w:rsidRDefault="00E447B3" w:rsidP="00E447B3">
            <w:pPr>
              <w:jc w:val="center"/>
            </w:pPr>
            <w:r>
              <w:rPr>
                <w:noProof/>
                <w:color w:val="3366CC"/>
                <w:lang w:eastAsia="es-CO"/>
              </w:rPr>
              <w:lastRenderedPageBreak/>
              <w:drawing>
                <wp:inline distT="0" distB="0" distL="0" distR="0" wp14:anchorId="66FCE81C" wp14:editId="0F61579C">
                  <wp:extent cx="962025" cy="8572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097" w:type="dxa"/>
            <w:tcBorders>
              <w:top w:val="single" w:sz="4" w:space="0" w:color="0070C0"/>
              <w:left w:val="nil"/>
              <w:bottom w:val="single" w:sz="4" w:space="0" w:color="0070C0"/>
              <w:right w:val="single" w:sz="4" w:space="0" w:color="0070C0"/>
            </w:tcBorders>
          </w:tcPr>
          <w:p w14:paraId="3D4E2FB9" w14:textId="7EEFF9B9" w:rsidR="00E447B3" w:rsidRDefault="00E447B3" w:rsidP="00E447B3">
            <w:pPr>
              <w:jc w:val="both"/>
              <w:rPr>
                <w:color w:val="002060"/>
                <w:sz w:val="28"/>
                <w:szCs w:val="28"/>
              </w:rPr>
            </w:pPr>
            <w:r>
              <w:rPr>
                <w:color w:val="002060"/>
                <w:sz w:val="28"/>
                <w:szCs w:val="28"/>
              </w:rPr>
              <w:t>¿Qué desafíos y retos tuvimos para el cumplimiento?</w:t>
            </w:r>
          </w:p>
          <w:p w14:paraId="574C3A52" w14:textId="77777777" w:rsidR="00A1223A" w:rsidRPr="006824F0" w:rsidRDefault="00A1223A" w:rsidP="00E447B3">
            <w:pPr>
              <w:jc w:val="both"/>
              <w:rPr>
                <w:rFonts w:cstheme="minorHAnsi"/>
                <w:color w:val="002060"/>
                <w:sz w:val="28"/>
                <w:szCs w:val="28"/>
              </w:rPr>
            </w:pPr>
          </w:p>
          <w:p w14:paraId="60C90AC0" w14:textId="1E1868E8" w:rsidR="00C02288" w:rsidRPr="00C02288" w:rsidRDefault="00A1223A" w:rsidP="00552499">
            <w:pPr>
              <w:pStyle w:val="Textoindependiente"/>
              <w:numPr>
                <w:ilvl w:val="0"/>
                <w:numId w:val="48"/>
              </w:numPr>
              <w:tabs>
                <w:tab w:val="left" w:pos="282"/>
              </w:tabs>
              <w:spacing w:before="9"/>
              <w:ind w:left="-2" w:firstLine="2"/>
              <w:jc w:val="both"/>
              <w:rPr>
                <w:rFonts w:asciiTheme="minorHAnsi" w:eastAsiaTheme="minorHAnsi" w:hAnsiTheme="minorHAnsi" w:cstheme="minorBidi"/>
                <w:lang w:val="es-ES_tradnl"/>
              </w:rPr>
            </w:pPr>
            <w:r w:rsidRPr="006824F0">
              <w:rPr>
                <w:rFonts w:asciiTheme="minorHAnsi" w:hAnsiTheme="minorHAnsi" w:cstheme="minorHAnsi"/>
                <w:b/>
                <w:i/>
                <w:u w:val="single"/>
              </w:rPr>
              <w:t>Porcentaje de miembros de FARC-EP acreditados y que voluntariamente acceden a la ruta reincorporación con todas las medidas de la reincorporación económica y social sostenibl</w:t>
            </w:r>
            <w:r w:rsidR="00C02288" w:rsidRPr="006824F0">
              <w:rPr>
                <w:rFonts w:asciiTheme="minorHAnsi" w:hAnsiTheme="minorHAnsi" w:cstheme="minorHAnsi"/>
                <w:b/>
                <w:i/>
                <w:u w:val="single"/>
              </w:rPr>
              <w:t>e:</w:t>
            </w:r>
            <w:r w:rsidR="00C02288" w:rsidRPr="006824F0">
              <w:rPr>
                <w:rFonts w:asciiTheme="minorHAnsi" w:hAnsiTheme="minorHAnsi" w:cstheme="minorHAnsi"/>
                <w:b/>
                <w:i/>
              </w:rPr>
              <w:t xml:space="preserve"> </w:t>
            </w:r>
            <w:r w:rsidR="00C02288" w:rsidRPr="006824F0">
              <w:rPr>
                <w:rFonts w:asciiTheme="minorHAnsi" w:eastAsiaTheme="minorHAnsi" w:hAnsiTheme="minorHAnsi" w:cstheme="minorHAnsi"/>
                <w:lang w:val="es-ES_tradnl"/>
              </w:rPr>
              <w:t>El principal desafío que se presentó para lograr el cumplimiento a la</w:t>
            </w:r>
            <w:r w:rsidR="00C02288" w:rsidRPr="00C02288">
              <w:rPr>
                <w:rFonts w:asciiTheme="minorHAnsi" w:eastAsiaTheme="minorHAnsi" w:hAnsiTheme="minorHAnsi" w:cstheme="minorBidi"/>
                <w:lang w:val="es-ES_tradnl"/>
              </w:rPr>
              <w:t xml:space="preserve"> meta establecida, se </w:t>
            </w:r>
            <w:r w:rsidR="00E247CE">
              <w:rPr>
                <w:rFonts w:asciiTheme="minorHAnsi" w:eastAsiaTheme="minorHAnsi" w:hAnsiTheme="minorHAnsi" w:cstheme="minorBidi"/>
                <w:lang w:val="es-ES_tradnl"/>
              </w:rPr>
              <w:t>identificó</w:t>
            </w:r>
            <w:r w:rsidR="00C02288" w:rsidRPr="00C02288">
              <w:rPr>
                <w:rFonts w:asciiTheme="minorHAnsi" w:eastAsiaTheme="minorHAnsi" w:hAnsiTheme="minorHAnsi" w:cstheme="minorBidi"/>
                <w:lang w:val="es-ES_tradnl"/>
              </w:rPr>
              <w:t xml:space="preserve"> el </w:t>
            </w:r>
            <w:r w:rsidR="00C02288" w:rsidRPr="00C02288">
              <w:rPr>
                <w:rFonts w:asciiTheme="minorHAnsi" w:eastAsiaTheme="minorHAnsi" w:hAnsiTheme="minorHAnsi" w:cstheme="minorBidi"/>
                <w:lang w:val="es-ES_tradnl"/>
              </w:rPr>
              <w:lastRenderedPageBreak/>
              <w:t xml:space="preserve">comportamiento histórico </w:t>
            </w:r>
            <w:r w:rsidR="00E247CE">
              <w:rPr>
                <w:rFonts w:asciiTheme="minorHAnsi" w:eastAsiaTheme="minorHAnsi" w:hAnsiTheme="minorHAnsi" w:cstheme="minorBidi"/>
                <w:lang w:val="es-ES_tradnl"/>
              </w:rPr>
              <w:t>del indicador</w:t>
            </w:r>
            <w:r w:rsidR="00C02288" w:rsidRPr="00C02288">
              <w:rPr>
                <w:rFonts w:asciiTheme="minorHAnsi" w:eastAsiaTheme="minorHAnsi" w:hAnsiTheme="minorHAnsi" w:cstheme="minorBidi"/>
                <w:lang w:val="es-ES_tradnl"/>
              </w:rPr>
              <w:t xml:space="preserve"> en donde se presenta un sobre cumplimiento</w:t>
            </w:r>
            <w:r w:rsidR="00E247CE">
              <w:rPr>
                <w:rFonts w:asciiTheme="minorHAnsi" w:eastAsiaTheme="minorHAnsi" w:hAnsiTheme="minorHAnsi" w:cstheme="minorBidi"/>
                <w:lang w:val="es-ES_tradnl"/>
              </w:rPr>
              <w:t xml:space="preserve">, </w:t>
            </w:r>
            <w:r w:rsidR="00C02288" w:rsidRPr="00C02288">
              <w:rPr>
                <w:rFonts w:asciiTheme="minorHAnsi" w:eastAsiaTheme="minorHAnsi" w:hAnsiTheme="minorHAnsi" w:cstheme="minorBidi"/>
                <w:lang w:val="es-ES_tradnl"/>
              </w:rPr>
              <w:t>debido a que la atención en el proceso de reincorporación se realizó a partir de la implementación de la ruta temprana de reincorporación</w:t>
            </w:r>
            <w:r w:rsidR="006824F0">
              <w:rPr>
                <w:rFonts w:asciiTheme="minorHAnsi" w:eastAsiaTheme="minorHAnsi" w:hAnsiTheme="minorHAnsi" w:cstheme="minorBidi"/>
                <w:lang w:val="es-ES_tradnl"/>
              </w:rPr>
              <w:t>,</w:t>
            </w:r>
            <w:r w:rsidR="00411511">
              <w:rPr>
                <w:rFonts w:asciiTheme="minorHAnsi" w:eastAsiaTheme="minorHAnsi" w:hAnsiTheme="minorHAnsi" w:cstheme="minorBidi"/>
                <w:lang w:val="es-ES_tradnl"/>
              </w:rPr>
              <w:t xml:space="preserve"> </w:t>
            </w:r>
            <w:r w:rsidR="006824F0">
              <w:rPr>
                <w:rFonts w:asciiTheme="minorHAnsi" w:eastAsiaTheme="minorHAnsi" w:hAnsiTheme="minorHAnsi" w:cstheme="minorBidi"/>
                <w:lang w:val="es-ES_tradnl"/>
              </w:rPr>
              <w:t>a</w:t>
            </w:r>
            <w:r w:rsidR="00C02288" w:rsidRPr="00C02288">
              <w:rPr>
                <w:rFonts w:asciiTheme="minorHAnsi" w:eastAsiaTheme="minorHAnsi" w:hAnsiTheme="minorHAnsi" w:cstheme="minorBidi"/>
                <w:lang w:val="es-ES_tradnl"/>
              </w:rPr>
              <w:t>l impacto de la emergencia sanitaria y a sus nuevas modalidades de atención virtual</w:t>
            </w:r>
            <w:r w:rsidR="00411511">
              <w:rPr>
                <w:rFonts w:asciiTheme="minorHAnsi" w:eastAsiaTheme="minorHAnsi" w:hAnsiTheme="minorHAnsi" w:cstheme="minorBidi"/>
                <w:lang w:val="es-ES_tradnl"/>
              </w:rPr>
              <w:t>,</w:t>
            </w:r>
            <w:r w:rsidR="00C02288" w:rsidRPr="00C02288">
              <w:rPr>
                <w:rFonts w:asciiTheme="minorHAnsi" w:eastAsiaTheme="minorHAnsi" w:hAnsiTheme="minorHAnsi" w:cstheme="minorBidi"/>
                <w:lang w:val="es-ES_tradnl"/>
              </w:rPr>
              <w:t xml:space="preserve"> lo que implica para la entidad un mayor despliegue tecnológico y profesional para facilitar y llevar a buen término el acompañamiento en relación a las necesidades de los participantes</w:t>
            </w:r>
            <w:r w:rsidR="00E247CE">
              <w:rPr>
                <w:rFonts w:asciiTheme="minorHAnsi" w:eastAsiaTheme="minorHAnsi" w:hAnsiTheme="minorHAnsi" w:cstheme="minorBidi"/>
                <w:lang w:val="es-ES_tradnl"/>
              </w:rPr>
              <w:t>.</w:t>
            </w:r>
            <w:r w:rsidR="00C02288" w:rsidRPr="00C02288">
              <w:rPr>
                <w:rFonts w:asciiTheme="minorHAnsi" w:eastAsiaTheme="minorHAnsi" w:hAnsiTheme="minorHAnsi" w:cstheme="minorBidi"/>
                <w:lang w:val="es-ES_tradnl"/>
              </w:rPr>
              <w:t xml:space="preserve"> </w:t>
            </w:r>
          </w:p>
          <w:p w14:paraId="7EB61D03" w14:textId="31BD14D5" w:rsidR="00A1223A" w:rsidRPr="006824F0" w:rsidRDefault="00A1223A" w:rsidP="00A1223A">
            <w:pPr>
              <w:pStyle w:val="Prrafodelista"/>
              <w:rPr>
                <w:rFonts w:cstheme="minorHAnsi"/>
                <w:b/>
                <w:highlight w:val="yellow"/>
              </w:rPr>
            </w:pPr>
          </w:p>
          <w:p w14:paraId="2ED9236C" w14:textId="7F42DFD9" w:rsidR="0002448D" w:rsidRPr="006824F0" w:rsidRDefault="00A1223A" w:rsidP="00646501">
            <w:pPr>
              <w:pStyle w:val="Prrafodelista"/>
              <w:numPr>
                <w:ilvl w:val="0"/>
                <w:numId w:val="48"/>
              </w:numPr>
              <w:tabs>
                <w:tab w:val="left" w:pos="282"/>
              </w:tabs>
              <w:ind w:left="0" w:firstLine="0"/>
              <w:rPr>
                <w:lang w:val="es-CO"/>
              </w:rPr>
            </w:pPr>
            <w:r w:rsidRPr="006824F0">
              <w:rPr>
                <w:rFonts w:cstheme="minorHAnsi"/>
                <w:b/>
                <w:u w:val="single"/>
              </w:rPr>
              <w:t>Consejos Territoriales De Reincorporación</w:t>
            </w:r>
            <w:r w:rsidR="005D467E" w:rsidRPr="006824F0">
              <w:rPr>
                <w:rFonts w:cstheme="minorHAnsi"/>
                <w:b/>
                <w:u w:val="single"/>
              </w:rPr>
              <w:t>:</w:t>
            </w:r>
            <w:r w:rsidR="005D467E" w:rsidRPr="006824F0">
              <w:rPr>
                <w:rFonts w:cstheme="minorHAnsi"/>
                <w:b/>
              </w:rPr>
              <w:t xml:space="preserve"> </w:t>
            </w:r>
            <w:r w:rsidR="0002448D">
              <w:t>Los Consejos Territoriales de Reincorporación (y otras instancias con alcance municipal o departamental) tuvieron que afrontar retos relacionados con la delimitación de su alcance en los territorios, lo cual implica contar con suficiente claridad sobre el alcance de los programas derivados del Acuerdo Final y sus posibilidades de articulación con la política de reintegración y las políticas públicas territoriales; la transversalización de los enfoques diferenciales en las iniciativas y proyectos gestionados en su interior; la planeación estratégica de su gestión y fortalecimiento de sus capacidades operativas; el desarrollo de una comunicación asertiva entre sus integrantes y la comprensión plena de las herramientas de planeación territorial dispuestas para los municipios y departamentos.</w:t>
            </w:r>
          </w:p>
          <w:p w14:paraId="5B30B967" w14:textId="77777777" w:rsidR="0002448D" w:rsidRDefault="0002448D" w:rsidP="0002448D"/>
          <w:p w14:paraId="77459615" w14:textId="3FA2092A" w:rsidR="0002448D" w:rsidRDefault="0002448D" w:rsidP="0002448D">
            <w:r>
              <w:t xml:space="preserve">Con respecto al afrontamiento de la emergencia sanitaria causada por el SARS-COV2, en 2021 los CTR desarrollaron sus sesiones de forma presencial en el 70% de los casos, vinculando dentro sus cinco temas principales asuntos relacionados con la atención en salud de la población, por lo cual se infiere que estas instancias desarrollaron su actividad a pesar de la pandemia. Sin embargo, la emergencia sanitaria sí incidió en la agenda de los CTR, en la medida en que, en cinco (5) de las veinte (20) reuniones donde se detectaron compromisos concretos en salud, dichas instancias tuvieron que abordar temas relacionados con el estado de vacunación de la población en reincorporación, medidas de choque para atender la emergencia en </w:t>
            </w:r>
            <w:r w:rsidR="00411511">
              <w:t>los</w:t>
            </w:r>
            <w:r>
              <w:t xml:space="preserve"> antiguo</w:t>
            </w:r>
            <w:r w:rsidR="00411511">
              <w:t>s</w:t>
            </w:r>
            <w:r>
              <w:t xml:space="preserve"> ETCR (durante el pico del segundo trimestre del 2021) y el desarrollo de talleres para prevenir la COVID-19</w:t>
            </w:r>
          </w:p>
          <w:p w14:paraId="038C6D8A" w14:textId="77777777" w:rsidR="00552499" w:rsidRDefault="00552499" w:rsidP="00552499">
            <w:pPr>
              <w:pStyle w:val="Prrafodelista"/>
              <w:tabs>
                <w:tab w:val="left" w:pos="282"/>
              </w:tabs>
              <w:ind w:left="0"/>
              <w:jc w:val="both"/>
              <w:rPr>
                <w:rFonts w:cstheme="minorHAnsi"/>
                <w:b/>
              </w:rPr>
            </w:pPr>
          </w:p>
          <w:p w14:paraId="5D551EC0" w14:textId="1A5A1749" w:rsidR="00E447B3" w:rsidRDefault="00A1223A" w:rsidP="00552499">
            <w:pPr>
              <w:pStyle w:val="Prrafodelista"/>
              <w:numPr>
                <w:ilvl w:val="0"/>
                <w:numId w:val="48"/>
              </w:numPr>
              <w:tabs>
                <w:tab w:val="left" w:pos="282"/>
              </w:tabs>
              <w:ind w:left="0" w:hanging="13"/>
              <w:jc w:val="both"/>
              <w:rPr>
                <w:color w:val="002060"/>
                <w:sz w:val="28"/>
                <w:szCs w:val="28"/>
              </w:rPr>
            </w:pPr>
            <w:r w:rsidRPr="00ED7FCF">
              <w:rPr>
                <w:rFonts w:cstheme="minorHAnsi"/>
                <w:b/>
                <w:lang w:val="es-ES"/>
              </w:rPr>
              <w:t>Programa de atención especial para discapacitados del conflicto con incapacidad permanente y adultos mayores, que gestione recursos de cooperación no reembolsable internacional y de instituciones no gubernamentales para su realización, creado</w:t>
            </w:r>
            <w:r w:rsidR="00EC6955" w:rsidRPr="00ED7FCF">
              <w:rPr>
                <w:rFonts w:cstheme="minorHAnsi"/>
                <w:b/>
                <w:lang w:val="es-ES"/>
              </w:rPr>
              <w:t>:</w:t>
            </w:r>
            <w:r w:rsidR="00EC6955" w:rsidRPr="00ED7FCF">
              <w:rPr>
                <w:rFonts w:cstheme="minorHAnsi"/>
                <w:b/>
                <w:u w:val="single"/>
                <w:lang w:val="es-ES"/>
              </w:rPr>
              <w:t xml:space="preserve"> </w:t>
            </w:r>
            <w:r w:rsidR="00EC6955" w:rsidRPr="00ED7FCF">
              <w:rPr>
                <w:rFonts w:cstheme="minorHAnsi"/>
                <w:lang w:val="es-ES"/>
              </w:rPr>
              <w:t xml:space="preserve">Durante el 2021 se tuvo como </w:t>
            </w:r>
            <w:r w:rsidR="00452CD5" w:rsidRPr="00ED7FCF">
              <w:rPr>
                <w:rFonts w:cstheme="minorHAnsi"/>
                <w:lang w:val="es-ES"/>
              </w:rPr>
              <w:t>desafío</w:t>
            </w:r>
            <w:r w:rsidR="00EC6955" w:rsidRPr="00ED7FCF">
              <w:rPr>
                <w:rFonts w:cstheme="minorHAnsi"/>
                <w:lang w:val="es-ES"/>
              </w:rPr>
              <w:t xml:space="preserve"> el adelantar los procesos de </w:t>
            </w:r>
            <w:r w:rsidR="00452CD5" w:rsidRPr="00ED7FCF">
              <w:rPr>
                <w:rFonts w:cstheme="minorHAnsi"/>
                <w:lang w:val="es-ES"/>
              </w:rPr>
              <w:t>certificación de</w:t>
            </w:r>
            <w:r w:rsidR="00EC6955" w:rsidRPr="00ED7FCF">
              <w:rPr>
                <w:rFonts w:cstheme="minorHAnsi"/>
                <w:lang w:val="es-ES"/>
              </w:rPr>
              <w:t xml:space="preserve"> las personas con discapacidad, en </w:t>
            </w:r>
            <w:r w:rsidR="00452CD5" w:rsidRPr="00ED7FCF">
              <w:rPr>
                <w:rFonts w:cstheme="minorHAnsi"/>
                <w:lang w:val="es-ES"/>
              </w:rPr>
              <w:t>articulación</w:t>
            </w:r>
            <w:r w:rsidR="00EC6955" w:rsidRPr="00ED7FCF">
              <w:rPr>
                <w:rFonts w:cstheme="minorHAnsi"/>
                <w:lang w:val="es-ES"/>
              </w:rPr>
              <w:t xml:space="preserve"> con las entidades competentes en el tema. Así mismo se estableció a final de </w:t>
            </w:r>
            <w:r w:rsidR="00452CD5" w:rsidRPr="00ED7FCF">
              <w:rPr>
                <w:rFonts w:cstheme="minorHAnsi"/>
                <w:lang w:val="es-ES"/>
              </w:rPr>
              <w:t>año el</w:t>
            </w:r>
            <w:r w:rsidR="00EC6955" w:rsidRPr="00ED7FCF">
              <w:rPr>
                <w:rFonts w:cstheme="minorHAnsi"/>
                <w:lang w:val="es-ES"/>
              </w:rPr>
              <w:t xml:space="preserve"> proceso para el fortalecimiento de las </w:t>
            </w:r>
            <w:r w:rsidR="00E774F2" w:rsidRPr="00ED7FCF">
              <w:rPr>
                <w:rFonts w:cstheme="minorHAnsi"/>
                <w:lang w:val="es-ES"/>
              </w:rPr>
              <w:t>Empresa Social del Estado (</w:t>
            </w:r>
            <w:r w:rsidR="00EC6955" w:rsidRPr="00ED7FCF">
              <w:rPr>
                <w:rFonts w:cstheme="minorHAnsi"/>
                <w:lang w:val="es-ES"/>
              </w:rPr>
              <w:t>ESE</w:t>
            </w:r>
            <w:r w:rsidR="00E774F2" w:rsidRPr="00ED7FCF">
              <w:rPr>
                <w:rFonts w:cstheme="minorHAnsi"/>
                <w:lang w:val="es-ES"/>
              </w:rPr>
              <w:t>)</w:t>
            </w:r>
            <w:r w:rsidR="00452CD5" w:rsidRPr="00ED7FCF">
              <w:rPr>
                <w:rFonts w:cstheme="minorHAnsi"/>
                <w:lang w:val="es-ES"/>
              </w:rPr>
              <w:t xml:space="preserve"> para la atención de la población en condición de discapacidad, con el Ministerio de Salud y Protección Social.</w:t>
            </w:r>
          </w:p>
        </w:tc>
      </w:tr>
    </w:tbl>
    <w:p w14:paraId="6FDD17EE" w14:textId="77777777" w:rsidR="00E447B3" w:rsidRDefault="00E447B3" w:rsidP="005965DF">
      <w:pPr>
        <w:spacing w:after="0" w:line="240" w:lineRule="auto"/>
        <w:jc w:val="both"/>
        <w:rPr>
          <w:sz w:val="24"/>
          <w:szCs w:val="24"/>
        </w:rPr>
      </w:pPr>
    </w:p>
    <w:p w14:paraId="35496AF6" w14:textId="4C64BBB1" w:rsidR="007D5F9E" w:rsidRPr="0048016F" w:rsidRDefault="007D5F9E" w:rsidP="007D5F9E">
      <w:pPr>
        <w:spacing w:after="0" w:line="240" w:lineRule="auto"/>
        <w:jc w:val="both"/>
        <w:rPr>
          <w:b/>
          <w:i/>
          <w:sz w:val="32"/>
          <w:szCs w:val="24"/>
        </w:rPr>
      </w:pPr>
      <w:r w:rsidRPr="0048016F">
        <w:rPr>
          <w:b/>
          <w:i/>
          <w:sz w:val="32"/>
          <w:szCs w:val="24"/>
        </w:rPr>
        <w:t xml:space="preserve">Acción </w:t>
      </w:r>
      <w:r w:rsidR="00E447B3">
        <w:rPr>
          <w:b/>
          <w:i/>
          <w:sz w:val="32"/>
          <w:szCs w:val="24"/>
        </w:rPr>
        <w:t>4</w:t>
      </w:r>
    </w:p>
    <w:p w14:paraId="5C99389B" w14:textId="77777777" w:rsidR="007D5F9E" w:rsidRDefault="007D5F9E" w:rsidP="007D5F9E">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7D5F9E" w14:paraId="1F560995"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7D1D78F5" w14:textId="77777777" w:rsidR="007D5F9E" w:rsidRDefault="007D5F9E" w:rsidP="007D5F9E">
            <w:pPr>
              <w:jc w:val="center"/>
              <w:rPr>
                <w:sz w:val="36"/>
                <w:szCs w:val="36"/>
              </w:rPr>
            </w:pPr>
            <w:r>
              <w:rPr>
                <w:sz w:val="36"/>
                <w:szCs w:val="36"/>
              </w:rPr>
              <w:lastRenderedPageBreak/>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638C7AF6" w14:textId="280913BD" w:rsidR="007D5F9E" w:rsidRDefault="00E447B3" w:rsidP="00E447B3">
            <w:pPr>
              <w:jc w:val="both"/>
              <w:rPr>
                <w:sz w:val="36"/>
                <w:szCs w:val="36"/>
              </w:rPr>
            </w:pPr>
            <w:r w:rsidRPr="00E447B3">
              <w:rPr>
                <w:sz w:val="24"/>
                <w:szCs w:val="24"/>
              </w:rPr>
              <w:t>En el Marco del Fin del Conflicto: a) Asignar, a partir de la terminación de las</w:t>
            </w:r>
            <w:r w:rsidRPr="00E447B3">
              <w:rPr>
                <w:sz w:val="36"/>
                <w:szCs w:val="36"/>
              </w:rPr>
              <w:t xml:space="preserve"> </w:t>
            </w:r>
            <w:r w:rsidRPr="00E447B3">
              <w:rPr>
                <w:sz w:val="24"/>
                <w:szCs w:val="36"/>
              </w:rPr>
              <w:t>ZVTN y durante veinticuatro (24) meses, a cada uno (a) de los hombres y mujeres hoy pertenecientes a FARC-EP, una renta básica mensual equivalente a 90% del SMMLV, siempre y cuando no tengan un vínculo contractual que les genere ingresos. b) Otorgar con posterioridad al término de 24 meses, una asignación mensual de acuerdo con la normatividad que se expida para ese efecto y no menor a la que haya estado vigente siempre y cuando el beneficiario acredite que ha continuado su ruta educativa en función de los propósitos de reincorporación. c) Otorgar, al momento de la terminación de las ZVTN, una asignación única de normalización equivalente a 2 millones de pesos a cada uno (a) de los hombres y mujeres hoy pertenecientes a FARC-EP. d) Garantizar las sumas correspondientes a los pagos por concepto de seguridad social en salud y pensiones de acuerdo con la normatividad vigente para quienes no se encuentren vinculados a actividades remuneradas, a través de la constitución de un encargo fiduciario para la realización de los pagos durante 24 meses, a cargo del Gobierno Nacional.</w:t>
            </w:r>
          </w:p>
        </w:tc>
      </w:tr>
      <w:tr w:rsidR="007D5F9E" w14:paraId="0EA5BF32"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2BA6747" w14:textId="77777777" w:rsidR="007D5F9E" w:rsidRDefault="007D5F9E" w:rsidP="007D5F9E">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418F9F2" w14:textId="77777777" w:rsidR="007D5F9E" w:rsidRDefault="007D5F9E" w:rsidP="007D5F9E">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4D3962A6" w14:textId="77777777" w:rsidR="007D5F9E" w:rsidRDefault="007D5F9E" w:rsidP="007D5F9E">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2D8A5AD0" w14:textId="77777777" w:rsidR="007D5F9E" w:rsidRDefault="007D5F9E" w:rsidP="007D5F9E">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2FCAB59B" w14:textId="77777777" w:rsidR="007D5F9E" w:rsidRDefault="007D5F9E" w:rsidP="007D5F9E">
            <w:pPr>
              <w:jc w:val="center"/>
              <w:rPr>
                <w:sz w:val="36"/>
                <w:szCs w:val="36"/>
                <w:highlight w:val="yellow"/>
              </w:rPr>
            </w:pPr>
            <w:r>
              <w:rPr>
                <w:sz w:val="24"/>
                <w:szCs w:val="24"/>
              </w:rPr>
              <w:t>Sector</w:t>
            </w:r>
          </w:p>
        </w:tc>
      </w:tr>
      <w:tr w:rsidR="00E447B3" w14:paraId="43ADEE69" w14:textId="77777777" w:rsidTr="00E447B3">
        <w:tc>
          <w:tcPr>
            <w:tcW w:w="2529" w:type="dxa"/>
            <w:tcBorders>
              <w:top w:val="single" w:sz="4" w:space="0" w:color="0070C0"/>
              <w:left w:val="single" w:sz="4" w:space="0" w:color="0070C0"/>
              <w:bottom w:val="single" w:sz="4" w:space="0" w:color="0070C0"/>
              <w:right w:val="single" w:sz="4" w:space="0" w:color="0070C0"/>
            </w:tcBorders>
            <w:hideMark/>
          </w:tcPr>
          <w:p w14:paraId="5328C3BF" w14:textId="571F73FB" w:rsidR="00E447B3" w:rsidRDefault="00E447B3" w:rsidP="00E447B3">
            <w:pPr>
              <w:jc w:val="center"/>
              <w:rPr>
                <w:sz w:val="24"/>
                <w:szCs w:val="24"/>
              </w:rPr>
            </w:pPr>
            <w:bookmarkStart w:id="1" w:name="_Hlk99034834"/>
            <w:r w:rsidRPr="0051628F">
              <w:t xml:space="preserve">Porcentaje de miembros de </w:t>
            </w:r>
            <w:r>
              <w:t>FARC-EP</w:t>
            </w:r>
            <w:r w:rsidRPr="0051628F">
              <w:t xml:space="preserve"> acreditados que no tengan vínculo contractual que les genere ingresos, con renta básica mensual</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6438C5CD" w14:textId="77777777" w:rsidR="00E447B3" w:rsidRDefault="00E447B3" w:rsidP="00E447B3">
            <w:pPr>
              <w:rPr>
                <w:sz w:val="24"/>
                <w:szCs w:val="24"/>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71093BE3" w14:textId="279B6DD2" w:rsidR="00E447B3" w:rsidRDefault="00E447B3" w:rsidP="00E447B3">
            <w:pPr>
              <w:jc w:val="center"/>
              <w:rPr>
                <w:sz w:val="24"/>
                <w:szCs w:val="24"/>
              </w:rPr>
            </w:pPr>
            <w:r w:rsidRPr="004B68D6">
              <w:t>2017</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0A4B5B52" w14:textId="378EBD0B" w:rsidR="00E447B3" w:rsidRDefault="00E447B3" w:rsidP="00E447B3">
            <w:pPr>
              <w:jc w:val="center"/>
              <w:rPr>
                <w:sz w:val="24"/>
                <w:szCs w:val="24"/>
              </w:rPr>
            </w:pPr>
            <w:r w:rsidRPr="004B68D6">
              <w:t>20</w:t>
            </w:r>
            <w:r>
              <w:t>19</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07FB02FA" w14:textId="2555D954" w:rsidR="00E447B3" w:rsidRDefault="00CB5F18" w:rsidP="00E447B3">
            <w:pPr>
              <w:jc w:val="center"/>
              <w:rPr>
                <w:sz w:val="24"/>
                <w:szCs w:val="24"/>
              </w:rPr>
            </w:pPr>
            <w:r>
              <w:t>Presidencia</w:t>
            </w:r>
          </w:p>
        </w:tc>
      </w:tr>
      <w:tr w:rsidR="00E447B3" w14:paraId="092E0219" w14:textId="77777777" w:rsidTr="00E447B3">
        <w:tc>
          <w:tcPr>
            <w:tcW w:w="2529" w:type="dxa"/>
            <w:tcBorders>
              <w:top w:val="single" w:sz="4" w:space="0" w:color="0070C0"/>
              <w:left w:val="single" w:sz="4" w:space="0" w:color="0070C0"/>
              <w:bottom w:val="single" w:sz="4" w:space="0" w:color="0070C0"/>
              <w:right w:val="single" w:sz="4" w:space="0" w:color="0070C0"/>
            </w:tcBorders>
          </w:tcPr>
          <w:p w14:paraId="57A2E5BC" w14:textId="6CB13973" w:rsidR="00E447B3" w:rsidRDefault="00E447B3" w:rsidP="00E447B3">
            <w:pPr>
              <w:jc w:val="center"/>
              <w:rPr>
                <w:sz w:val="24"/>
                <w:szCs w:val="24"/>
                <w:highlight w:val="yellow"/>
              </w:rPr>
            </w:pPr>
            <w:r w:rsidRPr="00C762F1">
              <w:t xml:space="preserve">Porcentaje de asignaciones únicas de normalización entregadas a los integrantes de </w:t>
            </w:r>
            <w:r>
              <w:t>FARC-EP</w:t>
            </w:r>
            <w:r w:rsidRPr="00C762F1">
              <w:t xml:space="preserve"> acreditados</w:t>
            </w:r>
            <w:r>
              <w:t xml:space="preserve"> </w:t>
            </w:r>
            <w:r w:rsidRPr="00C762F1">
              <w:t>que cumplan requisitos para desembolso</w:t>
            </w:r>
          </w:p>
        </w:tc>
        <w:tc>
          <w:tcPr>
            <w:tcW w:w="1821" w:type="dxa"/>
            <w:tcBorders>
              <w:top w:val="single" w:sz="4" w:space="0" w:color="0070C0"/>
              <w:left w:val="single" w:sz="4" w:space="0" w:color="0070C0"/>
              <w:bottom w:val="single" w:sz="4" w:space="0" w:color="0070C0"/>
              <w:right w:val="single" w:sz="4" w:space="0" w:color="0070C0"/>
            </w:tcBorders>
            <w:vAlign w:val="center"/>
          </w:tcPr>
          <w:p w14:paraId="1F5437BD" w14:textId="1C71F3A7" w:rsidR="00E447B3" w:rsidRDefault="007B7518" w:rsidP="00E447B3">
            <w:pPr>
              <w:rPr>
                <w:sz w:val="24"/>
                <w:szCs w:val="24"/>
                <w:highlight w:val="yellow"/>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7CEB0A59" w14:textId="79F72516" w:rsidR="00E447B3" w:rsidRDefault="00E447B3" w:rsidP="00E447B3">
            <w:pPr>
              <w:jc w:val="center"/>
              <w:rPr>
                <w:sz w:val="24"/>
                <w:szCs w:val="24"/>
                <w:highlight w:val="yellow"/>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5FF8FD7A" w14:textId="1956B1E2" w:rsidR="00E447B3" w:rsidRDefault="00E447B3" w:rsidP="00E447B3">
            <w:pPr>
              <w:jc w:val="center"/>
              <w:rPr>
                <w:sz w:val="24"/>
                <w:szCs w:val="24"/>
                <w:highlight w:val="yellow"/>
              </w:rPr>
            </w:pPr>
            <w:r>
              <w:t>2017</w:t>
            </w:r>
          </w:p>
        </w:tc>
        <w:tc>
          <w:tcPr>
            <w:tcW w:w="2418" w:type="dxa"/>
            <w:tcBorders>
              <w:top w:val="single" w:sz="4" w:space="0" w:color="0070C0"/>
              <w:left w:val="single" w:sz="4" w:space="0" w:color="0070C0"/>
              <w:bottom w:val="single" w:sz="4" w:space="0" w:color="0070C0"/>
              <w:right w:val="single" w:sz="4" w:space="0" w:color="0070C0"/>
            </w:tcBorders>
            <w:vAlign w:val="center"/>
          </w:tcPr>
          <w:p w14:paraId="6E2128FA" w14:textId="697F2E0D" w:rsidR="00E447B3" w:rsidRDefault="00CB5F18" w:rsidP="00E447B3">
            <w:pPr>
              <w:jc w:val="center"/>
              <w:rPr>
                <w:sz w:val="24"/>
                <w:szCs w:val="24"/>
                <w:highlight w:val="yellow"/>
              </w:rPr>
            </w:pPr>
            <w:r>
              <w:t>Presidencia</w:t>
            </w:r>
          </w:p>
        </w:tc>
      </w:tr>
      <w:tr w:rsidR="00E447B3" w14:paraId="2236D8A6" w14:textId="77777777" w:rsidTr="00E447B3">
        <w:tc>
          <w:tcPr>
            <w:tcW w:w="2529" w:type="dxa"/>
            <w:tcBorders>
              <w:top w:val="single" w:sz="4" w:space="0" w:color="0070C0"/>
              <w:left w:val="single" w:sz="4" w:space="0" w:color="0070C0"/>
              <w:bottom w:val="single" w:sz="4" w:space="0" w:color="0070C0"/>
              <w:right w:val="single" w:sz="4" w:space="0" w:color="0070C0"/>
            </w:tcBorders>
          </w:tcPr>
          <w:p w14:paraId="09D3A7A5" w14:textId="65F5E5BD" w:rsidR="00E447B3" w:rsidRDefault="00E447B3" w:rsidP="00E447B3">
            <w:pPr>
              <w:jc w:val="center"/>
              <w:rPr>
                <w:sz w:val="24"/>
                <w:szCs w:val="24"/>
                <w:highlight w:val="yellow"/>
              </w:rPr>
            </w:pPr>
            <w:r w:rsidRPr="00C762F1">
              <w:t xml:space="preserve">Porcentaje de miembros de </w:t>
            </w:r>
            <w:r>
              <w:t>FARC-EP</w:t>
            </w:r>
            <w:r w:rsidRPr="00C762F1">
              <w:t xml:space="preserve"> acreditados que no tengan vínculo contractual, que reciben pago por concepto de seguridad socia</w:t>
            </w:r>
            <w:r>
              <w:t>l</w:t>
            </w:r>
          </w:p>
        </w:tc>
        <w:tc>
          <w:tcPr>
            <w:tcW w:w="1821" w:type="dxa"/>
            <w:tcBorders>
              <w:top w:val="single" w:sz="4" w:space="0" w:color="0070C0"/>
              <w:left w:val="single" w:sz="4" w:space="0" w:color="0070C0"/>
              <w:bottom w:val="single" w:sz="4" w:space="0" w:color="0070C0"/>
              <w:right w:val="single" w:sz="4" w:space="0" w:color="0070C0"/>
            </w:tcBorders>
            <w:vAlign w:val="center"/>
          </w:tcPr>
          <w:p w14:paraId="17D30C5B" w14:textId="5A9D1273" w:rsidR="00E447B3" w:rsidRDefault="007B7518" w:rsidP="00E447B3">
            <w:pPr>
              <w:rPr>
                <w:sz w:val="24"/>
                <w:szCs w:val="24"/>
                <w:highlight w:val="yellow"/>
              </w:rPr>
            </w:pPr>
            <w:r>
              <w:rPr>
                <w:sz w:val="24"/>
                <w:szCs w:val="24"/>
              </w:rPr>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168DC75E" w14:textId="2DF2EC5E" w:rsidR="00E447B3" w:rsidRDefault="00E447B3" w:rsidP="00E447B3">
            <w:pPr>
              <w:jc w:val="center"/>
              <w:rPr>
                <w:sz w:val="24"/>
                <w:szCs w:val="24"/>
                <w:highlight w:val="yellow"/>
              </w:rPr>
            </w:pPr>
            <w:r>
              <w:t>2017</w:t>
            </w:r>
          </w:p>
        </w:tc>
        <w:tc>
          <w:tcPr>
            <w:tcW w:w="1030" w:type="dxa"/>
            <w:tcBorders>
              <w:top w:val="single" w:sz="4" w:space="0" w:color="0070C0"/>
              <w:left w:val="single" w:sz="4" w:space="0" w:color="0070C0"/>
              <w:bottom w:val="single" w:sz="4" w:space="0" w:color="0070C0"/>
              <w:right w:val="single" w:sz="4" w:space="0" w:color="0070C0"/>
            </w:tcBorders>
            <w:vAlign w:val="center"/>
          </w:tcPr>
          <w:p w14:paraId="58261F7D" w14:textId="5B628DA4" w:rsidR="00E447B3" w:rsidRDefault="00E447B3" w:rsidP="00E447B3">
            <w:pPr>
              <w:jc w:val="center"/>
              <w:rPr>
                <w:sz w:val="24"/>
                <w:szCs w:val="24"/>
                <w:highlight w:val="yellow"/>
              </w:rPr>
            </w:pPr>
            <w:r>
              <w:t>2020</w:t>
            </w:r>
          </w:p>
        </w:tc>
        <w:tc>
          <w:tcPr>
            <w:tcW w:w="2418" w:type="dxa"/>
            <w:tcBorders>
              <w:top w:val="single" w:sz="4" w:space="0" w:color="0070C0"/>
              <w:left w:val="single" w:sz="4" w:space="0" w:color="0070C0"/>
              <w:bottom w:val="single" w:sz="4" w:space="0" w:color="0070C0"/>
              <w:right w:val="single" w:sz="4" w:space="0" w:color="0070C0"/>
            </w:tcBorders>
            <w:vAlign w:val="center"/>
          </w:tcPr>
          <w:p w14:paraId="4992DD0B" w14:textId="4F168DF3" w:rsidR="00E447B3" w:rsidRDefault="00CB5F18" w:rsidP="00E447B3">
            <w:pPr>
              <w:jc w:val="center"/>
              <w:rPr>
                <w:sz w:val="24"/>
                <w:szCs w:val="24"/>
                <w:highlight w:val="yellow"/>
              </w:rPr>
            </w:pPr>
            <w:r>
              <w:t>Presidencia</w:t>
            </w:r>
          </w:p>
        </w:tc>
      </w:tr>
      <w:tr w:rsidR="00E447B3" w14:paraId="245FC189" w14:textId="77777777" w:rsidTr="00E447B3">
        <w:tc>
          <w:tcPr>
            <w:tcW w:w="2529" w:type="dxa"/>
            <w:tcBorders>
              <w:top w:val="single" w:sz="4" w:space="0" w:color="0070C0"/>
              <w:left w:val="single" w:sz="4" w:space="0" w:color="0070C0"/>
              <w:bottom w:val="single" w:sz="4" w:space="0" w:color="0070C0"/>
              <w:right w:val="single" w:sz="4" w:space="0" w:color="0070C0"/>
            </w:tcBorders>
          </w:tcPr>
          <w:p w14:paraId="316D1E0D" w14:textId="257B7255" w:rsidR="00E447B3" w:rsidRDefault="00E447B3" w:rsidP="00E447B3">
            <w:pPr>
              <w:jc w:val="center"/>
              <w:rPr>
                <w:sz w:val="24"/>
                <w:szCs w:val="24"/>
                <w:highlight w:val="yellow"/>
              </w:rPr>
            </w:pPr>
            <w:r w:rsidRPr="0051628F">
              <w:t xml:space="preserve">Porcentaje de miembros de </w:t>
            </w:r>
            <w:r>
              <w:t>FARC-EP</w:t>
            </w:r>
            <w:r w:rsidRPr="0051628F">
              <w:t xml:space="preserve"> acreditados que no tengan vínculo contractual que les genere ingresos y que </w:t>
            </w:r>
            <w:r w:rsidRPr="0051628F">
              <w:lastRenderedPageBreak/>
              <w:t>continúen con su ruta educativa de acuerdo a sus intereses en el proceso de reincorporación, con asignación básica mensual</w:t>
            </w:r>
          </w:p>
        </w:tc>
        <w:tc>
          <w:tcPr>
            <w:tcW w:w="1821" w:type="dxa"/>
            <w:tcBorders>
              <w:top w:val="single" w:sz="4" w:space="0" w:color="0070C0"/>
              <w:left w:val="single" w:sz="4" w:space="0" w:color="0070C0"/>
              <w:bottom w:val="single" w:sz="4" w:space="0" w:color="0070C0"/>
              <w:right w:val="single" w:sz="4" w:space="0" w:color="0070C0"/>
            </w:tcBorders>
            <w:vAlign w:val="center"/>
          </w:tcPr>
          <w:p w14:paraId="4226B7E2" w14:textId="56D9BC3D" w:rsidR="00E447B3" w:rsidRDefault="007B7518" w:rsidP="00E447B3">
            <w:pPr>
              <w:rPr>
                <w:sz w:val="24"/>
                <w:szCs w:val="24"/>
                <w:highlight w:val="yellow"/>
              </w:rPr>
            </w:pPr>
            <w:r>
              <w:rPr>
                <w:sz w:val="24"/>
                <w:szCs w:val="24"/>
              </w:rPr>
              <w:lastRenderedPageBreak/>
              <w:t>Temático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626926CD" w14:textId="7754A6D5" w:rsidR="00E447B3" w:rsidRDefault="00E447B3" w:rsidP="00E447B3">
            <w:pPr>
              <w:jc w:val="center"/>
              <w:rPr>
                <w:sz w:val="24"/>
                <w:szCs w:val="24"/>
                <w:highlight w:val="yellow"/>
              </w:rPr>
            </w:pPr>
            <w:r>
              <w:t>2019</w:t>
            </w:r>
          </w:p>
        </w:tc>
        <w:tc>
          <w:tcPr>
            <w:tcW w:w="1030" w:type="dxa"/>
            <w:tcBorders>
              <w:top w:val="single" w:sz="4" w:space="0" w:color="0070C0"/>
              <w:left w:val="single" w:sz="4" w:space="0" w:color="0070C0"/>
              <w:bottom w:val="single" w:sz="4" w:space="0" w:color="0070C0"/>
              <w:right w:val="single" w:sz="4" w:space="0" w:color="0070C0"/>
            </w:tcBorders>
            <w:vAlign w:val="center"/>
          </w:tcPr>
          <w:p w14:paraId="77026E2C" w14:textId="059140C7" w:rsidR="00E447B3" w:rsidRDefault="00E447B3" w:rsidP="00E447B3">
            <w:pPr>
              <w:jc w:val="center"/>
              <w:rPr>
                <w:sz w:val="24"/>
                <w:szCs w:val="24"/>
                <w:highlight w:val="yellow"/>
              </w:rPr>
            </w:pPr>
            <w:r>
              <w:t>2026</w:t>
            </w:r>
          </w:p>
        </w:tc>
        <w:tc>
          <w:tcPr>
            <w:tcW w:w="2418" w:type="dxa"/>
            <w:tcBorders>
              <w:top w:val="single" w:sz="4" w:space="0" w:color="0070C0"/>
              <w:left w:val="single" w:sz="4" w:space="0" w:color="0070C0"/>
              <w:bottom w:val="single" w:sz="4" w:space="0" w:color="0070C0"/>
              <w:right w:val="single" w:sz="4" w:space="0" w:color="0070C0"/>
            </w:tcBorders>
            <w:vAlign w:val="center"/>
          </w:tcPr>
          <w:p w14:paraId="334976CF" w14:textId="2F508C54" w:rsidR="00E447B3" w:rsidRDefault="00CB5F18" w:rsidP="00E447B3">
            <w:pPr>
              <w:jc w:val="center"/>
              <w:rPr>
                <w:sz w:val="24"/>
                <w:szCs w:val="24"/>
                <w:highlight w:val="yellow"/>
              </w:rPr>
            </w:pPr>
            <w:r>
              <w:t>Presidencia</w:t>
            </w:r>
          </w:p>
        </w:tc>
      </w:tr>
      <w:bookmarkEnd w:id="1"/>
    </w:tbl>
    <w:p w14:paraId="02A017D4" w14:textId="77777777" w:rsidR="007D5F9E" w:rsidRDefault="007D5F9E" w:rsidP="007D5F9E">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7117"/>
      </w:tblGrid>
      <w:tr w:rsidR="007D5F9E" w14:paraId="512F73C2"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52BEBFC9" w14:textId="77777777" w:rsidR="007D5F9E" w:rsidRDefault="007D5F9E" w:rsidP="007D5F9E">
            <w:pPr>
              <w:jc w:val="center"/>
              <w:rPr>
                <w:sz w:val="24"/>
                <w:szCs w:val="24"/>
              </w:rPr>
            </w:pPr>
            <w:r>
              <w:rPr>
                <w:noProof/>
                <w:lang w:eastAsia="es-CO"/>
              </w:rPr>
              <w:drawing>
                <wp:inline distT="0" distB="0" distL="0" distR="0" wp14:anchorId="62DE76A0" wp14:editId="0B79BF28">
                  <wp:extent cx="771525" cy="9334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7AD05C75" w14:textId="77777777" w:rsidR="007D5F9E" w:rsidRDefault="007D5F9E" w:rsidP="007D5F9E">
            <w:pPr>
              <w:jc w:val="both"/>
              <w:rPr>
                <w:color w:val="002060"/>
                <w:sz w:val="28"/>
                <w:szCs w:val="28"/>
              </w:rPr>
            </w:pPr>
            <w:r>
              <w:rPr>
                <w:color w:val="002060"/>
                <w:sz w:val="28"/>
                <w:szCs w:val="28"/>
              </w:rPr>
              <w:t>¿Cómo lo hicimos?</w:t>
            </w:r>
          </w:p>
          <w:p w14:paraId="549859E9" w14:textId="77777777" w:rsidR="00F10E86" w:rsidRDefault="00F10E86" w:rsidP="002857BB">
            <w:pPr>
              <w:rPr>
                <w:rFonts w:cstheme="minorHAnsi"/>
              </w:rPr>
            </w:pPr>
          </w:p>
          <w:p w14:paraId="3A8EC47D" w14:textId="0BABB055" w:rsidR="002857BB" w:rsidRPr="002857BB" w:rsidRDefault="002857BB" w:rsidP="002857BB">
            <w:pPr>
              <w:rPr>
                <w:rFonts w:cstheme="minorHAnsi"/>
              </w:rPr>
            </w:pPr>
            <w:r w:rsidRPr="002857BB">
              <w:rPr>
                <w:rFonts w:cstheme="minorHAnsi"/>
              </w:rPr>
              <w:t>De acuerdo a lo establecido en los artículos 7, 8, 9, 13 y 14 del Decreto Ley 899 de 2017, modificada parcialmente por el art. 284 de la Ley 1955 de 2019, la Resolución 4309 de 2019, Resolución 1279 de 2020, Resolución 0066 de 2021 y Resolución 1704 de 2021, estos beneficios se otorgan a las personas acreditadas que cumplen con los requisitos establecidos para cada beneficio así:</w:t>
            </w:r>
          </w:p>
          <w:p w14:paraId="1214B09A" w14:textId="77777777" w:rsidR="002857BB" w:rsidRDefault="002857BB" w:rsidP="002857BB">
            <w:pPr>
              <w:pStyle w:val="Prrafodelista"/>
              <w:ind w:left="1068"/>
              <w:jc w:val="both"/>
              <w:rPr>
                <w:rFonts w:cstheme="minorHAnsi"/>
                <w:i/>
              </w:rPr>
            </w:pPr>
          </w:p>
          <w:p w14:paraId="3EC7B878" w14:textId="77777777" w:rsidR="002857BB" w:rsidRPr="00377266" w:rsidRDefault="002857BB" w:rsidP="002857BB">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7: Asignación única de normalización.</w:t>
            </w:r>
            <w:r w:rsidRPr="00377266">
              <w:rPr>
                <w:rFonts w:asciiTheme="minorHAnsi" w:hAnsiTheme="minorHAnsi" w:cstheme="minorHAnsi"/>
                <w:sz w:val="22"/>
                <w:szCs w:val="22"/>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14:paraId="0EFCBA19" w14:textId="77777777" w:rsidR="002857BB" w:rsidRDefault="002857BB" w:rsidP="002857BB">
            <w:pPr>
              <w:rPr>
                <w:rFonts w:cstheme="minorHAnsi"/>
              </w:rPr>
            </w:pPr>
            <w:r w:rsidRPr="00377266">
              <w:rPr>
                <w:rFonts w:cstheme="minorHAnsi"/>
              </w:rPr>
              <w:t>Durante la vigencia 202</w:t>
            </w:r>
            <w:r>
              <w:rPr>
                <w:rFonts w:cstheme="minorHAnsi"/>
              </w:rPr>
              <w:t>1</w:t>
            </w:r>
            <w:r w:rsidRPr="00377266">
              <w:rPr>
                <w:rFonts w:cstheme="minorHAnsi"/>
              </w:rPr>
              <w:t xml:space="preserve">, se realizaron mensualmente desembolsos de Asignación Única de Normalización, </w:t>
            </w:r>
            <w:r>
              <w:rPr>
                <w:rFonts w:cstheme="minorHAnsi"/>
              </w:rPr>
              <w:t>ejecutando 53</w:t>
            </w:r>
            <w:r w:rsidRPr="00377266">
              <w:rPr>
                <w:rFonts w:cstheme="minorHAnsi"/>
              </w:rPr>
              <w:t xml:space="preserve"> desembolsos de Asignación Única de Normalización por valor $</w:t>
            </w:r>
            <w:r>
              <w:rPr>
                <w:rFonts w:cstheme="minorHAnsi"/>
              </w:rPr>
              <w:t>94.500.000</w:t>
            </w:r>
            <w:r w:rsidRPr="00377266">
              <w:rPr>
                <w:rFonts w:cstheme="minorHAnsi"/>
              </w:rPr>
              <w:t>, alcanzando desde el 16 de agosto 2017, fecha de inicio de los desembolsos de beneficios económicos, al 31 de diciembre 202</w:t>
            </w:r>
            <w:r>
              <w:rPr>
                <w:rFonts w:cstheme="minorHAnsi"/>
              </w:rPr>
              <w:t>1</w:t>
            </w:r>
            <w:r w:rsidRPr="00377266">
              <w:rPr>
                <w:rFonts w:cstheme="minorHAnsi"/>
              </w:rPr>
              <w:t>, un total de 13</w:t>
            </w:r>
            <w:r>
              <w:rPr>
                <w:rFonts w:cstheme="minorHAnsi"/>
              </w:rPr>
              <w:t>.236</w:t>
            </w:r>
            <w:r w:rsidRPr="00377266">
              <w:rPr>
                <w:rFonts w:cstheme="minorHAnsi"/>
              </w:rPr>
              <w:t xml:space="preserve"> </w:t>
            </w:r>
            <w:r>
              <w:rPr>
                <w:rFonts w:cstheme="minorHAnsi"/>
              </w:rPr>
              <w:t>e</w:t>
            </w:r>
            <w:r w:rsidRPr="00377266">
              <w:rPr>
                <w:rFonts w:cstheme="minorHAnsi"/>
              </w:rPr>
              <w:t xml:space="preserve">x </w:t>
            </w:r>
            <w:r>
              <w:rPr>
                <w:rFonts w:cstheme="minorHAnsi"/>
              </w:rPr>
              <w:t>i</w:t>
            </w:r>
            <w:r w:rsidRPr="00377266">
              <w:rPr>
                <w:rFonts w:cstheme="minorHAnsi"/>
              </w:rPr>
              <w:t xml:space="preserve">ntegrantes FARC-EP el beneficio económico de Asignación Única de Normalización por valor de $ </w:t>
            </w:r>
            <w:r>
              <w:rPr>
                <w:rFonts w:cstheme="minorHAnsi"/>
              </w:rPr>
              <w:t>25.953.914.000</w:t>
            </w:r>
            <w:r w:rsidRPr="00377266">
              <w:rPr>
                <w:rFonts w:cstheme="minorHAnsi"/>
              </w:rPr>
              <w:t>, representando el 100% de Integrantes FARC-EP que cumplieron requisitos para dicho desembolso</w:t>
            </w:r>
            <w:r>
              <w:rPr>
                <w:rFonts w:cstheme="minorHAnsi"/>
              </w:rPr>
              <w:t>. El</w:t>
            </w:r>
            <w:r w:rsidRPr="00377266">
              <w:rPr>
                <w:rFonts w:cstheme="minorHAnsi"/>
              </w:rPr>
              <w:t xml:space="preserve"> indicador es acumulativo, ya que este beneficio se entrega por una sola vez.</w:t>
            </w:r>
          </w:p>
          <w:p w14:paraId="107C1725" w14:textId="77777777" w:rsidR="002857BB" w:rsidRDefault="002857BB" w:rsidP="002857BB">
            <w:pPr>
              <w:rPr>
                <w:rFonts w:cstheme="minorHAnsi"/>
                <w:i/>
              </w:rPr>
            </w:pPr>
          </w:p>
          <w:p w14:paraId="0390938D" w14:textId="77777777" w:rsidR="002857BB" w:rsidRPr="00377266" w:rsidRDefault="002857BB" w:rsidP="002857BB">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8: Renta básica.</w:t>
            </w:r>
            <w:r w:rsidRPr="00377266">
              <w:rPr>
                <w:rFonts w:asciiTheme="minorHAnsi" w:hAnsiTheme="minorHAnsi" w:cstheme="minorHAnsi"/>
                <w:sz w:val="22"/>
                <w:szCs w:val="22"/>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 </w:t>
            </w:r>
          </w:p>
          <w:p w14:paraId="5C794909" w14:textId="77777777" w:rsidR="002857BB" w:rsidRPr="00377266" w:rsidRDefault="002857BB" w:rsidP="002857BB">
            <w:pPr>
              <w:pStyle w:val="CM18"/>
              <w:spacing w:after="275" w:line="278" w:lineRule="atLeast"/>
              <w:ind w:right="165"/>
              <w:rPr>
                <w:rFonts w:asciiTheme="minorHAnsi" w:hAnsiTheme="minorHAnsi" w:cstheme="minorHAnsi"/>
                <w:sz w:val="22"/>
                <w:szCs w:val="22"/>
                <w:lang w:eastAsia="en-US"/>
              </w:rPr>
            </w:pPr>
            <w:r w:rsidRPr="00377266">
              <w:rPr>
                <w:rFonts w:asciiTheme="minorHAnsi" w:hAnsiTheme="minorHAnsi" w:cstheme="minorHAnsi"/>
                <w:sz w:val="22"/>
                <w:szCs w:val="22"/>
                <w:lang w:eastAsia="en-US"/>
              </w:rPr>
              <w:lastRenderedPageBreak/>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14:paraId="33F3BCAE" w14:textId="77777777" w:rsidR="002857BB" w:rsidRDefault="002857BB" w:rsidP="002857BB">
            <w:pPr>
              <w:rPr>
                <w:rFonts w:cstheme="minorHAnsi"/>
              </w:rPr>
            </w:pPr>
            <w:r w:rsidRPr="00F578AA">
              <w:rPr>
                <w:rFonts w:cstheme="minorHAnsi"/>
              </w:rPr>
              <w:t xml:space="preserve">Durante el año 2021 se realizaron 12 procesos de verificación de requisitos de Renta Básica, en los cuales </w:t>
            </w:r>
            <w:r>
              <w:rPr>
                <w:rFonts w:cstheme="minorHAnsi"/>
              </w:rPr>
              <w:t>s</w:t>
            </w:r>
            <w:r w:rsidRPr="00F578AA">
              <w:rPr>
                <w:rFonts w:cstheme="minorHAnsi"/>
              </w:rPr>
              <w:t xml:space="preserve">e realizaron 3.571 desembolsos beneficiando a un total de 381 </w:t>
            </w:r>
            <w:r>
              <w:rPr>
                <w:rFonts w:cstheme="minorHAnsi"/>
              </w:rPr>
              <w:t>e</w:t>
            </w:r>
            <w:r w:rsidRPr="00F578AA">
              <w:rPr>
                <w:rFonts w:cstheme="minorHAnsi"/>
              </w:rPr>
              <w:t>x integrantes FARC</w:t>
            </w:r>
            <w:r>
              <w:rPr>
                <w:rFonts w:cstheme="minorHAnsi"/>
              </w:rPr>
              <w:t>-EP</w:t>
            </w:r>
            <w:r w:rsidRPr="00F578AA">
              <w:rPr>
                <w:rFonts w:cstheme="minorHAnsi"/>
              </w:rPr>
              <w:t>, representado el 100% del total de Integrantes FARC-EP que cumplieron requisitos para este desembolso. Durante el periodo en estudio se desembolsaron recursos por $2.872.254.339 por concepto de Renta Básica.</w:t>
            </w:r>
          </w:p>
          <w:p w14:paraId="289A33F5" w14:textId="77777777" w:rsidR="002857BB" w:rsidRDefault="002857BB" w:rsidP="002857BB">
            <w:pPr>
              <w:jc w:val="both"/>
              <w:rPr>
                <w:rFonts w:cstheme="minorHAnsi"/>
              </w:rPr>
            </w:pPr>
          </w:p>
          <w:p w14:paraId="3EC80230" w14:textId="77777777" w:rsidR="002857BB" w:rsidRPr="00377266" w:rsidRDefault="002857BB" w:rsidP="002857BB">
            <w:pPr>
              <w:pStyle w:val="CM18"/>
              <w:spacing w:after="275" w:line="278" w:lineRule="atLeast"/>
              <w:ind w:right="165"/>
              <w:rPr>
                <w:rFonts w:asciiTheme="minorHAnsi" w:hAnsiTheme="minorHAnsi" w:cstheme="minorHAnsi"/>
                <w:b/>
                <w:sz w:val="22"/>
                <w:szCs w:val="22"/>
                <w:lang w:eastAsia="en-US"/>
              </w:rPr>
            </w:pPr>
            <w:r w:rsidRPr="00377266">
              <w:rPr>
                <w:rFonts w:asciiTheme="minorHAnsi" w:hAnsiTheme="minorHAnsi" w:cstheme="minorHAnsi"/>
                <w:b/>
                <w:sz w:val="22"/>
                <w:szCs w:val="22"/>
                <w:u w:val="single"/>
                <w:lang w:eastAsia="en-US"/>
              </w:rPr>
              <w:t xml:space="preserve">Artículo 8: (…) Asignación Mensual: </w:t>
            </w:r>
            <w:r w:rsidRPr="00377266">
              <w:rPr>
                <w:rFonts w:asciiTheme="minorHAnsi" w:hAnsiTheme="minorHAnsi" w:cstheme="minorHAnsi"/>
                <w:sz w:val="22"/>
                <w:szCs w:val="22"/>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00377266">
              <w:rPr>
                <w:rFonts w:asciiTheme="minorHAnsi" w:hAnsiTheme="minorHAnsi" w:cstheme="minorHAnsi"/>
                <w:b/>
                <w:sz w:val="22"/>
                <w:szCs w:val="22"/>
                <w:lang w:eastAsia="en-US"/>
              </w:rPr>
              <w:t>(…).</w:t>
            </w:r>
          </w:p>
          <w:p w14:paraId="1A08D085" w14:textId="77777777" w:rsidR="002857BB" w:rsidRDefault="002857BB" w:rsidP="002857BB">
            <w:pPr>
              <w:pStyle w:val="Default"/>
              <w:rPr>
                <w:rFonts w:asciiTheme="minorHAnsi" w:hAnsiTheme="minorHAnsi" w:cstheme="minorHAnsi"/>
                <w:color w:val="auto"/>
                <w:sz w:val="22"/>
                <w:szCs w:val="22"/>
                <w:lang w:eastAsia="en-US"/>
              </w:rPr>
            </w:pPr>
            <w:r w:rsidRPr="00377266">
              <w:rPr>
                <w:rFonts w:asciiTheme="minorHAnsi" w:hAnsiTheme="minorHAnsi" w:cstheme="minorHAnsi"/>
                <w:color w:val="auto"/>
                <w:sz w:val="22"/>
                <w:szCs w:val="22"/>
                <w:lang w:eastAsia="en-US"/>
              </w:rPr>
              <w:t>La normatividad que reglamenta el acceso del beneficio de Asignación mensual durante el 202</w:t>
            </w:r>
            <w:r>
              <w:rPr>
                <w:rFonts w:asciiTheme="minorHAnsi" w:hAnsiTheme="minorHAnsi" w:cstheme="minorHAnsi"/>
                <w:color w:val="auto"/>
                <w:sz w:val="22"/>
                <w:szCs w:val="22"/>
                <w:lang w:eastAsia="en-US"/>
              </w:rPr>
              <w:t>1</w:t>
            </w:r>
            <w:r w:rsidRPr="00377266">
              <w:rPr>
                <w:rFonts w:asciiTheme="minorHAnsi" w:hAnsiTheme="minorHAnsi" w:cstheme="minorHAnsi"/>
                <w:color w:val="auto"/>
                <w:sz w:val="22"/>
                <w:szCs w:val="22"/>
                <w:lang w:eastAsia="en-US"/>
              </w:rPr>
              <w:t>, fue la siguiente:</w:t>
            </w:r>
          </w:p>
          <w:tbl>
            <w:tblPr>
              <w:tblW w:w="6977" w:type="dxa"/>
              <w:jc w:val="center"/>
              <w:tblCellMar>
                <w:left w:w="70" w:type="dxa"/>
                <w:right w:w="70" w:type="dxa"/>
              </w:tblCellMar>
              <w:tblLook w:val="04A0" w:firstRow="1" w:lastRow="0" w:firstColumn="1" w:lastColumn="0" w:noHBand="0" w:noVBand="1"/>
            </w:tblPr>
            <w:tblGrid>
              <w:gridCol w:w="2197"/>
              <w:gridCol w:w="4694"/>
            </w:tblGrid>
            <w:tr w:rsidR="002857BB" w:rsidRPr="00686D4C" w14:paraId="3664F25C" w14:textId="77777777" w:rsidTr="002857BB">
              <w:trPr>
                <w:trHeight w:val="300"/>
                <w:jc w:val="center"/>
              </w:trPr>
              <w:tc>
                <w:tcPr>
                  <w:tcW w:w="22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3906721" w14:textId="77777777" w:rsidR="002857BB" w:rsidRPr="00686D4C" w:rsidRDefault="002857BB" w:rsidP="002857BB">
                  <w:pPr>
                    <w:spacing w:after="0" w:line="240" w:lineRule="auto"/>
                    <w:rPr>
                      <w:rFonts w:eastAsia="Times New Roman"/>
                      <w:b/>
                      <w:bCs/>
                      <w:color w:val="000000"/>
                      <w:lang w:eastAsia="es-CO"/>
                    </w:rPr>
                  </w:pPr>
                  <w:r w:rsidRPr="00686D4C">
                    <w:rPr>
                      <w:rFonts w:eastAsia="Times New Roman"/>
                      <w:b/>
                      <w:bCs/>
                      <w:color w:val="000000"/>
                      <w:lang w:eastAsia="es-CO"/>
                    </w:rPr>
                    <w:t>Normatividad</w:t>
                  </w:r>
                </w:p>
              </w:tc>
              <w:tc>
                <w:tcPr>
                  <w:tcW w:w="4753" w:type="dxa"/>
                  <w:tcBorders>
                    <w:top w:val="single" w:sz="4" w:space="0" w:color="auto"/>
                    <w:left w:val="nil"/>
                    <w:bottom w:val="single" w:sz="4" w:space="0" w:color="auto"/>
                    <w:right w:val="single" w:sz="4" w:space="0" w:color="auto"/>
                  </w:tcBorders>
                  <w:shd w:val="clear" w:color="000000" w:fill="BFBFBF"/>
                  <w:noWrap/>
                  <w:vAlign w:val="center"/>
                  <w:hideMark/>
                </w:tcPr>
                <w:p w14:paraId="35D1382D" w14:textId="77777777" w:rsidR="002857BB" w:rsidRPr="00686D4C" w:rsidRDefault="002857BB" w:rsidP="002857BB">
                  <w:pPr>
                    <w:spacing w:after="0" w:line="240" w:lineRule="auto"/>
                    <w:rPr>
                      <w:rFonts w:eastAsia="Times New Roman"/>
                      <w:b/>
                      <w:bCs/>
                      <w:color w:val="000000"/>
                      <w:lang w:eastAsia="es-CO"/>
                    </w:rPr>
                  </w:pPr>
                  <w:r w:rsidRPr="00686D4C">
                    <w:rPr>
                      <w:rFonts w:eastAsia="Times New Roman"/>
                      <w:b/>
                      <w:bCs/>
                      <w:color w:val="000000"/>
                      <w:lang w:eastAsia="es-CO"/>
                    </w:rPr>
                    <w:t>Objetivo</w:t>
                  </w:r>
                </w:p>
              </w:tc>
            </w:tr>
            <w:tr w:rsidR="002857BB" w:rsidRPr="00686D4C" w14:paraId="5900826B" w14:textId="77777777" w:rsidTr="002857BB">
              <w:trPr>
                <w:trHeight w:val="57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59B28F5C"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4309 de 2019</w:t>
                  </w:r>
                </w:p>
              </w:tc>
              <w:tc>
                <w:tcPr>
                  <w:tcW w:w="4753" w:type="dxa"/>
                  <w:tcBorders>
                    <w:top w:val="nil"/>
                    <w:left w:val="nil"/>
                    <w:bottom w:val="single" w:sz="4" w:space="0" w:color="auto"/>
                    <w:right w:val="single" w:sz="4" w:space="0" w:color="auto"/>
                  </w:tcBorders>
                  <w:shd w:val="clear" w:color="000000" w:fill="FFFFFF"/>
                  <w:noWrap/>
                  <w:vAlign w:val="center"/>
                  <w:hideMark/>
                </w:tcPr>
                <w:p w14:paraId="32329164"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establece la Ruta De Reincorporación"</w:t>
                  </w:r>
                </w:p>
              </w:tc>
            </w:tr>
            <w:tr w:rsidR="002857BB" w:rsidRPr="00686D4C" w14:paraId="791F4169" w14:textId="77777777" w:rsidTr="002857BB">
              <w:trPr>
                <w:trHeight w:val="120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03981B97"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1279 de 2020</w:t>
                  </w:r>
                </w:p>
              </w:tc>
              <w:tc>
                <w:tcPr>
                  <w:tcW w:w="4753" w:type="dxa"/>
                  <w:tcBorders>
                    <w:top w:val="nil"/>
                    <w:left w:val="nil"/>
                    <w:bottom w:val="single" w:sz="4" w:space="0" w:color="auto"/>
                    <w:right w:val="single" w:sz="4" w:space="0" w:color="auto"/>
                  </w:tcBorders>
                  <w:shd w:val="clear" w:color="000000" w:fill="FFFFFF"/>
                  <w:vAlign w:val="center"/>
                  <w:hideMark/>
                </w:tcPr>
                <w:p w14:paraId="7D6725BA"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establecen medidas transitorias para el reconocimiento de la asignación mensual en el marco del Proceso de Reincorporación y se dictan otras disposiciones”</w:t>
                  </w:r>
                </w:p>
              </w:tc>
            </w:tr>
            <w:tr w:rsidR="002857BB" w:rsidRPr="00686D4C" w14:paraId="3E89F98D" w14:textId="77777777" w:rsidTr="002857BB">
              <w:trPr>
                <w:trHeight w:val="120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3F1D4843"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0066 de 2021</w:t>
                  </w:r>
                </w:p>
              </w:tc>
              <w:tc>
                <w:tcPr>
                  <w:tcW w:w="4753" w:type="dxa"/>
                  <w:tcBorders>
                    <w:top w:val="nil"/>
                    <w:left w:val="nil"/>
                    <w:bottom w:val="single" w:sz="4" w:space="0" w:color="auto"/>
                    <w:right w:val="single" w:sz="4" w:space="0" w:color="auto"/>
                  </w:tcBorders>
                  <w:shd w:val="clear" w:color="000000" w:fill="FFFFFF"/>
                  <w:vAlign w:val="center"/>
                  <w:hideMark/>
                </w:tcPr>
                <w:p w14:paraId="616A1A90"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establecen medidas transitorias para el reconocimiento de la asignación mensual en el marco del Proceso de Reincorporación y se dictan otras disposiciones”</w:t>
                  </w:r>
                </w:p>
              </w:tc>
            </w:tr>
            <w:tr w:rsidR="002857BB" w:rsidRPr="00686D4C" w14:paraId="3830491A" w14:textId="77777777" w:rsidTr="002857BB">
              <w:trPr>
                <w:trHeight w:val="1200"/>
                <w:jc w:val="center"/>
              </w:trPr>
              <w:tc>
                <w:tcPr>
                  <w:tcW w:w="2224" w:type="dxa"/>
                  <w:tcBorders>
                    <w:top w:val="nil"/>
                    <w:left w:val="single" w:sz="4" w:space="0" w:color="auto"/>
                    <w:bottom w:val="single" w:sz="4" w:space="0" w:color="auto"/>
                    <w:right w:val="single" w:sz="4" w:space="0" w:color="auto"/>
                  </w:tcBorders>
                  <w:shd w:val="clear" w:color="000000" w:fill="FFFFFF"/>
                  <w:noWrap/>
                  <w:vAlign w:val="center"/>
                  <w:hideMark/>
                </w:tcPr>
                <w:p w14:paraId="4E377DFF"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Resolución 1704 de 2021</w:t>
                  </w:r>
                </w:p>
              </w:tc>
              <w:tc>
                <w:tcPr>
                  <w:tcW w:w="4753" w:type="dxa"/>
                  <w:tcBorders>
                    <w:top w:val="nil"/>
                    <w:left w:val="nil"/>
                    <w:bottom w:val="single" w:sz="4" w:space="0" w:color="auto"/>
                    <w:right w:val="single" w:sz="4" w:space="0" w:color="auto"/>
                  </w:tcBorders>
                  <w:shd w:val="clear" w:color="000000" w:fill="FFFFFF"/>
                  <w:vAlign w:val="center"/>
                  <w:hideMark/>
                </w:tcPr>
                <w:p w14:paraId="41E98F6E" w14:textId="77777777" w:rsidR="002857BB" w:rsidRPr="00686D4C" w:rsidRDefault="002857BB" w:rsidP="002857BB">
                  <w:pPr>
                    <w:spacing w:after="0" w:line="240" w:lineRule="auto"/>
                    <w:rPr>
                      <w:rFonts w:eastAsia="Times New Roman"/>
                      <w:color w:val="000000"/>
                      <w:lang w:eastAsia="es-CO"/>
                    </w:rPr>
                  </w:pPr>
                  <w:r w:rsidRPr="00686D4C">
                    <w:rPr>
                      <w:rFonts w:eastAsia="Times New Roman"/>
                      <w:color w:val="000000"/>
                      <w:lang w:eastAsia="es-CO"/>
                    </w:rPr>
                    <w:t>Por la cual se prorroga la fase de transición prevista para el reconocimiento de la Asignación Mensual en el marco del proceso de reincorporación y se dictan otras disposiciones</w:t>
                  </w:r>
                </w:p>
              </w:tc>
            </w:tr>
          </w:tbl>
          <w:p w14:paraId="2F7131A1" w14:textId="77777777" w:rsidR="002857BB" w:rsidRDefault="002857BB" w:rsidP="002857BB">
            <w:pPr>
              <w:jc w:val="both"/>
              <w:rPr>
                <w:rFonts w:cstheme="minorHAnsi"/>
              </w:rPr>
            </w:pPr>
          </w:p>
          <w:p w14:paraId="2489B665" w14:textId="77777777" w:rsidR="002857BB" w:rsidRDefault="002857BB" w:rsidP="002857BB">
            <w:pPr>
              <w:rPr>
                <w:rFonts w:cstheme="minorHAnsi"/>
              </w:rPr>
            </w:pPr>
            <w:r w:rsidRPr="00377266">
              <w:rPr>
                <w:rFonts w:cstheme="minorHAnsi"/>
              </w:rPr>
              <w:t>Durante la vigencia 202</w:t>
            </w:r>
            <w:r>
              <w:rPr>
                <w:rFonts w:cstheme="minorHAnsi"/>
              </w:rPr>
              <w:t>1</w:t>
            </w:r>
            <w:r w:rsidRPr="00377266">
              <w:rPr>
                <w:rFonts w:cstheme="minorHAnsi"/>
              </w:rPr>
              <w:t xml:space="preserve"> se realizaron 12 procesos de </w:t>
            </w:r>
            <w:r>
              <w:rPr>
                <w:rFonts w:cstheme="minorHAnsi"/>
              </w:rPr>
              <w:t>verificación de requisitos</w:t>
            </w:r>
            <w:r w:rsidRPr="00377266">
              <w:rPr>
                <w:rFonts w:cstheme="minorHAnsi"/>
              </w:rPr>
              <w:t xml:space="preserve"> mensual, los cuales di</w:t>
            </w:r>
            <w:r>
              <w:rPr>
                <w:rFonts w:cstheme="minorHAnsi"/>
              </w:rPr>
              <w:t>eron</w:t>
            </w:r>
            <w:r w:rsidRPr="00377266">
              <w:rPr>
                <w:rFonts w:cstheme="minorHAnsi"/>
              </w:rPr>
              <w:t xml:space="preserve"> como resultado </w:t>
            </w:r>
            <w:r>
              <w:rPr>
                <w:rFonts w:cstheme="minorHAnsi"/>
              </w:rPr>
              <w:t>135.559</w:t>
            </w:r>
            <w:r w:rsidRPr="00377266">
              <w:rPr>
                <w:rFonts w:cstheme="minorHAnsi"/>
              </w:rPr>
              <w:t xml:space="preserve"> desembolsos de Asignación Mensual, beneficiando a un total de </w:t>
            </w:r>
            <w:r>
              <w:rPr>
                <w:rFonts w:cstheme="minorHAnsi"/>
              </w:rPr>
              <w:t>11.819</w:t>
            </w:r>
            <w:r w:rsidRPr="00377266">
              <w:rPr>
                <w:rFonts w:cstheme="minorHAnsi"/>
              </w:rPr>
              <w:t xml:space="preserve"> Ex integrantes FARC</w:t>
            </w:r>
            <w:r>
              <w:rPr>
                <w:rFonts w:cstheme="minorHAnsi"/>
              </w:rPr>
              <w:t>-EP</w:t>
            </w:r>
            <w:r w:rsidRPr="00377266">
              <w:rPr>
                <w:rFonts w:cstheme="minorHAnsi"/>
              </w:rPr>
              <w:t>. Durante este periodo se desembolsaron $</w:t>
            </w:r>
            <w:r>
              <w:rPr>
                <w:rFonts w:cstheme="minorHAnsi"/>
              </w:rPr>
              <w:t>110.842.574.757</w:t>
            </w:r>
            <w:r w:rsidRPr="00377266">
              <w:rPr>
                <w:rFonts w:cstheme="minorHAnsi"/>
              </w:rPr>
              <w:t xml:space="preserve"> por concepto de Asignación Mensual.</w:t>
            </w:r>
          </w:p>
          <w:p w14:paraId="5227106A" w14:textId="77777777" w:rsidR="002857BB" w:rsidRDefault="002857BB" w:rsidP="002857BB">
            <w:pPr>
              <w:rPr>
                <w:rFonts w:cstheme="minorHAnsi"/>
              </w:rPr>
            </w:pPr>
          </w:p>
          <w:p w14:paraId="3FAD968A" w14:textId="77777777" w:rsidR="002857BB" w:rsidRPr="00377266" w:rsidRDefault="002857BB" w:rsidP="002857BB">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b/>
                <w:sz w:val="22"/>
                <w:szCs w:val="22"/>
                <w:u w:val="single"/>
                <w:lang w:eastAsia="en-US"/>
              </w:rPr>
              <w:t>Artículo 9. Sistema de protección.</w:t>
            </w:r>
            <w:r w:rsidRPr="00377266">
              <w:rPr>
                <w:rFonts w:asciiTheme="minorHAnsi" w:hAnsiTheme="minorHAnsi" w:cstheme="minorHAnsi"/>
                <w:sz w:val="22"/>
                <w:szCs w:val="22"/>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14:paraId="0174F26B" w14:textId="77777777" w:rsidR="002857BB" w:rsidRPr="00377266" w:rsidRDefault="002857BB" w:rsidP="002857BB">
            <w:pPr>
              <w:pStyle w:val="CM18"/>
              <w:spacing w:after="275" w:line="278" w:lineRule="atLeast"/>
              <w:rPr>
                <w:rFonts w:asciiTheme="minorHAnsi" w:hAnsiTheme="minorHAnsi" w:cstheme="minorHAnsi"/>
                <w:sz w:val="22"/>
                <w:szCs w:val="22"/>
                <w:lang w:eastAsia="en-US"/>
              </w:rPr>
            </w:pPr>
            <w:r w:rsidRPr="00377266">
              <w:rPr>
                <w:rFonts w:asciiTheme="minorHAnsi" w:hAnsiTheme="minorHAnsi" w:cstheme="minorHAnsi"/>
                <w:sz w:val="22"/>
                <w:szCs w:val="22"/>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14:paraId="7E84B4E1" w14:textId="77777777" w:rsidR="002857BB" w:rsidRDefault="002857BB" w:rsidP="002857BB">
            <w:pPr>
              <w:pStyle w:val="CM18"/>
              <w:spacing w:after="275" w:line="278" w:lineRule="atLeast"/>
              <w:rPr>
                <w:rFonts w:asciiTheme="minorHAnsi" w:hAnsiTheme="minorHAnsi" w:cstheme="minorHAnsi"/>
                <w:sz w:val="23"/>
                <w:szCs w:val="23"/>
              </w:rPr>
            </w:pPr>
            <w:r w:rsidRPr="00377266">
              <w:rPr>
                <w:rFonts w:asciiTheme="minorHAnsi" w:hAnsiTheme="minorHAnsi" w:cstheme="minorHAnsi"/>
                <w:sz w:val="22"/>
                <w:szCs w:val="22"/>
                <w:lang w:eastAsia="en-US"/>
              </w:rPr>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Pr="00377266">
              <w:rPr>
                <w:rStyle w:val="Refdenotaalpie"/>
                <w:rFonts w:asciiTheme="minorHAnsi" w:hAnsiTheme="minorHAnsi" w:cstheme="minorHAnsi"/>
                <w:sz w:val="22"/>
                <w:szCs w:val="22"/>
                <w:lang w:eastAsia="en-US"/>
              </w:rPr>
              <w:footnoteReference w:id="5"/>
            </w:r>
            <w:r w:rsidRPr="00377266">
              <w:rPr>
                <w:rFonts w:asciiTheme="minorHAnsi" w:hAnsiTheme="minorHAnsi" w:cstheme="minorHAnsi"/>
                <w:sz w:val="22"/>
                <w:szCs w:val="22"/>
                <w:lang w:eastAsia="en-US"/>
              </w:rPr>
              <w:t>. En los términos que establece la normatividad vigente y administrados por Colpensiones</w:t>
            </w:r>
            <w:r w:rsidRPr="00377266">
              <w:rPr>
                <w:rFonts w:asciiTheme="minorHAnsi" w:hAnsiTheme="minorHAnsi" w:cstheme="minorHAnsi"/>
                <w:sz w:val="23"/>
                <w:szCs w:val="23"/>
              </w:rPr>
              <w:t>.</w:t>
            </w:r>
          </w:p>
          <w:p w14:paraId="4DDA77B7" w14:textId="6534EA9D" w:rsidR="007D5F9E" w:rsidRDefault="002857BB" w:rsidP="002857BB">
            <w:pPr>
              <w:jc w:val="both"/>
              <w:rPr>
                <w:sz w:val="24"/>
                <w:szCs w:val="24"/>
              </w:rPr>
            </w:pPr>
            <w:r w:rsidRPr="00776D0A">
              <w:rPr>
                <w:rFonts w:cstheme="minorHAnsi"/>
              </w:rPr>
              <w:t>Durante la vigencia 2021, se ejecutaron 15.152 pagos pensionales por un valor total de $2.196.799.400</w:t>
            </w:r>
            <w:r>
              <w:rPr>
                <w:rFonts w:cstheme="minorHAnsi"/>
              </w:rPr>
              <w:t>.</w:t>
            </w:r>
          </w:p>
        </w:tc>
      </w:tr>
      <w:tr w:rsidR="007D5F9E" w14:paraId="73889489"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2478AFDF" w14:textId="77777777" w:rsidR="007D5F9E" w:rsidRDefault="007D5F9E" w:rsidP="007D5F9E">
            <w:pPr>
              <w:jc w:val="center"/>
              <w:rPr>
                <w:sz w:val="24"/>
                <w:szCs w:val="24"/>
              </w:rPr>
            </w:pPr>
            <w:r>
              <w:rPr>
                <w:noProof/>
                <w:lang w:eastAsia="es-CO"/>
              </w:rPr>
              <w:lastRenderedPageBreak/>
              <w:drawing>
                <wp:inline distT="0" distB="0" distL="0" distR="0" wp14:anchorId="58A70BA4" wp14:editId="1B766F91">
                  <wp:extent cx="923925" cy="8001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0AFF0B09" w14:textId="0B6732AF" w:rsidR="00A0734B" w:rsidRDefault="007D5F9E" w:rsidP="00A0734B">
            <w:pPr>
              <w:jc w:val="both"/>
              <w:rPr>
                <w:color w:val="002060"/>
                <w:sz w:val="28"/>
                <w:szCs w:val="28"/>
              </w:rPr>
            </w:pPr>
            <w:r>
              <w:rPr>
                <w:color w:val="002060"/>
                <w:sz w:val="28"/>
                <w:szCs w:val="28"/>
              </w:rPr>
              <w:t>¿Quiénes se beneficiaron?</w:t>
            </w:r>
          </w:p>
          <w:p w14:paraId="11102D28" w14:textId="77777777" w:rsidR="00144D4F" w:rsidRDefault="00144D4F" w:rsidP="00A0734B">
            <w:pPr>
              <w:jc w:val="both"/>
              <w:rPr>
                <w:i/>
                <w:sz w:val="24"/>
                <w:szCs w:val="24"/>
              </w:rPr>
            </w:pPr>
          </w:p>
          <w:tbl>
            <w:tblPr>
              <w:tblW w:w="6877" w:type="dxa"/>
              <w:tblInd w:w="10" w:type="dxa"/>
              <w:tblCellMar>
                <w:left w:w="70" w:type="dxa"/>
                <w:right w:w="70" w:type="dxa"/>
              </w:tblCellMar>
              <w:tblLook w:val="04A0" w:firstRow="1" w:lastRow="0" w:firstColumn="1" w:lastColumn="0" w:noHBand="0" w:noVBand="1"/>
            </w:tblPr>
            <w:tblGrid>
              <w:gridCol w:w="1767"/>
              <w:gridCol w:w="1491"/>
              <w:gridCol w:w="1985"/>
              <w:gridCol w:w="1634"/>
            </w:tblGrid>
            <w:tr w:rsidR="00A0734B" w:rsidRPr="00D26D6E" w14:paraId="707DAE22" w14:textId="77777777" w:rsidTr="00D26D6E">
              <w:trPr>
                <w:trHeight w:val="238"/>
              </w:trPr>
              <w:tc>
                <w:tcPr>
                  <w:tcW w:w="17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570287"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CONCEPTO</w:t>
                  </w:r>
                </w:p>
              </w:tc>
              <w:tc>
                <w:tcPr>
                  <w:tcW w:w="1491" w:type="dxa"/>
                  <w:tcBorders>
                    <w:top w:val="single" w:sz="4" w:space="0" w:color="auto"/>
                    <w:left w:val="nil"/>
                    <w:bottom w:val="single" w:sz="4" w:space="0" w:color="auto"/>
                    <w:right w:val="single" w:sz="4" w:space="0" w:color="auto"/>
                  </w:tcBorders>
                  <w:shd w:val="clear" w:color="000000" w:fill="D9D9D9"/>
                  <w:vAlign w:val="center"/>
                  <w:hideMark/>
                </w:tcPr>
                <w:p w14:paraId="2608DFF8"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ARN</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3D84E85D"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Fondo Colombia en Paz</w:t>
                  </w:r>
                </w:p>
              </w:tc>
              <w:tc>
                <w:tcPr>
                  <w:tcW w:w="16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D30543"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VALOR</w:t>
                  </w:r>
                </w:p>
              </w:tc>
            </w:tr>
            <w:tr w:rsidR="00A0734B" w:rsidRPr="00D26D6E" w14:paraId="1081E763" w14:textId="77777777" w:rsidTr="00D26D6E">
              <w:trPr>
                <w:trHeight w:val="270"/>
              </w:trPr>
              <w:tc>
                <w:tcPr>
                  <w:tcW w:w="1767" w:type="dxa"/>
                  <w:vMerge/>
                  <w:tcBorders>
                    <w:top w:val="single" w:sz="4" w:space="0" w:color="auto"/>
                    <w:left w:val="single" w:sz="4" w:space="0" w:color="auto"/>
                    <w:bottom w:val="single" w:sz="4" w:space="0" w:color="auto"/>
                    <w:right w:val="single" w:sz="4" w:space="0" w:color="auto"/>
                  </w:tcBorders>
                  <w:vAlign w:val="center"/>
                  <w:hideMark/>
                </w:tcPr>
                <w:p w14:paraId="208E438B" w14:textId="77777777" w:rsidR="00A0734B" w:rsidRPr="00D26D6E" w:rsidRDefault="00A0734B" w:rsidP="00A0734B">
                  <w:pPr>
                    <w:spacing w:after="0" w:line="240" w:lineRule="auto"/>
                    <w:rPr>
                      <w:rFonts w:eastAsia="Times New Roman"/>
                      <w:b/>
                      <w:bCs/>
                      <w:color w:val="000000"/>
                      <w:sz w:val="18"/>
                      <w:lang w:eastAsia="es-CO"/>
                    </w:rPr>
                  </w:pPr>
                </w:p>
              </w:tc>
              <w:tc>
                <w:tcPr>
                  <w:tcW w:w="1491" w:type="dxa"/>
                  <w:tcBorders>
                    <w:top w:val="nil"/>
                    <w:left w:val="nil"/>
                    <w:bottom w:val="single" w:sz="4" w:space="0" w:color="auto"/>
                    <w:right w:val="single" w:sz="4" w:space="0" w:color="auto"/>
                  </w:tcBorders>
                  <w:shd w:val="clear" w:color="000000" w:fill="D9D9D9"/>
                  <w:vAlign w:val="center"/>
                  <w:hideMark/>
                </w:tcPr>
                <w:p w14:paraId="0CC1E246"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VALOR</w:t>
                  </w:r>
                </w:p>
              </w:tc>
              <w:tc>
                <w:tcPr>
                  <w:tcW w:w="1985" w:type="dxa"/>
                  <w:tcBorders>
                    <w:top w:val="nil"/>
                    <w:left w:val="nil"/>
                    <w:bottom w:val="single" w:sz="4" w:space="0" w:color="auto"/>
                    <w:right w:val="single" w:sz="4" w:space="0" w:color="auto"/>
                  </w:tcBorders>
                  <w:shd w:val="clear" w:color="000000" w:fill="D9D9D9"/>
                  <w:vAlign w:val="center"/>
                  <w:hideMark/>
                </w:tcPr>
                <w:p w14:paraId="05124271" w14:textId="77777777" w:rsidR="00A0734B" w:rsidRPr="00D26D6E" w:rsidRDefault="00A0734B" w:rsidP="00A0734B">
                  <w:pPr>
                    <w:spacing w:after="0" w:line="240" w:lineRule="auto"/>
                    <w:jc w:val="center"/>
                    <w:rPr>
                      <w:rFonts w:eastAsia="Times New Roman"/>
                      <w:b/>
                      <w:bCs/>
                      <w:color w:val="000000"/>
                      <w:sz w:val="18"/>
                      <w:lang w:eastAsia="es-CO"/>
                    </w:rPr>
                  </w:pPr>
                  <w:r w:rsidRPr="00D26D6E">
                    <w:rPr>
                      <w:rFonts w:eastAsia="Times New Roman"/>
                      <w:b/>
                      <w:bCs/>
                      <w:color w:val="000000"/>
                      <w:sz w:val="18"/>
                      <w:lang w:eastAsia="es-CO"/>
                    </w:rPr>
                    <w:t>VALOR</w:t>
                  </w: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288BA692" w14:textId="77777777" w:rsidR="00A0734B" w:rsidRPr="00D26D6E" w:rsidRDefault="00A0734B" w:rsidP="00A0734B">
                  <w:pPr>
                    <w:spacing w:after="0" w:line="240" w:lineRule="auto"/>
                    <w:rPr>
                      <w:rFonts w:eastAsia="Times New Roman"/>
                      <w:b/>
                      <w:bCs/>
                      <w:color w:val="000000"/>
                      <w:sz w:val="18"/>
                      <w:lang w:eastAsia="es-CO"/>
                    </w:rPr>
                  </w:pPr>
                </w:p>
              </w:tc>
            </w:tr>
            <w:tr w:rsidR="00A0734B" w:rsidRPr="00D26D6E" w14:paraId="63A29620" w14:textId="77777777" w:rsidTr="00F10E86">
              <w:trPr>
                <w:trHeight w:val="70"/>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2968B38"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Asignación Única</w:t>
                  </w:r>
                </w:p>
              </w:tc>
              <w:tc>
                <w:tcPr>
                  <w:tcW w:w="1491" w:type="dxa"/>
                  <w:tcBorders>
                    <w:top w:val="nil"/>
                    <w:left w:val="nil"/>
                    <w:bottom w:val="single" w:sz="4" w:space="0" w:color="auto"/>
                    <w:right w:val="single" w:sz="4" w:space="0" w:color="auto"/>
                  </w:tcBorders>
                  <w:shd w:val="clear" w:color="auto" w:fill="auto"/>
                  <w:vAlign w:val="center"/>
                  <w:hideMark/>
                </w:tcPr>
                <w:p w14:paraId="4467BD68"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$ 0</w:t>
                  </w:r>
                </w:p>
              </w:tc>
              <w:tc>
                <w:tcPr>
                  <w:tcW w:w="1985" w:type="dxa"/>
                  <w:tcBorders>
                    <w:top w:val="nil"/>
                    <w:left w:val="nil"/>
                    <w:bottom w:val="single" w:sz="4" w:space="0" w:color="auto"/>
                    <w:right w:val="single" w:sz="4" w:space="0" w:color="auto"/>
                  </w:tcBorders>
                  <w:shd w:val="clear" w:color="auto" w:fill="auto"/>
                  <w:vAlign w:val="center"/>
                  <w:hideMark/>
                </w:tcPr>
                <w:p w14:paraId="5ADA255B"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$ 94.500.000</w:t>
                  </w:r>
                </w:p>
              </w:tc>
              <w:tc>
                <w:tcPr>
                  <w:tcW w:w="1634" w:type="dxa"/>
                  <w:tcBorders>
                    <w:top w:val="nil"/>
                    <w:left w:val="nil"/>
                    <w:bottom w:val="single" w:sz="4" w:space="0" w:color="auto"/>
                    <w:right w:val="single" w:sz="4" w:space="0" w:color="auto"/>
                  </w:tcBorders>
                  <w:shd w:val="clear" w:color="auto" w:fill="auto"/>
                  <w:vAlign w:val="center"/>
                  <w:hideMark/>
                </w:tcPr>
                <w:p w14:paraId="7DD80772"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$ 94.500.000</w:t>
                  </w:r>
                </w:p>
              </w:tc>
            </w:tr>
            <w:tr w:rsidR="00A0734B" w:rsidRPr="00D26D6E" w14:paraId="1D83C387" w14:textId="77777777" w:rsidTr="00D26D6E">
              <w:trPr>
                <w:trHeight w:val="155"/>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F663140"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Renta Básica</w:t>
                  </w:r>
                </w:p>
              </w:tc>
              <w:tc>
                <w:tcPr>
                  <w:tcW w:w="1491" w:type="dxa"/>
                  <w:tcBorders>
                    <w:top w:val="nil"/>
                    <w:left w:val="nil"/>
                    <w:bottom w:val="single" w:sz="4" w:space="0" w:color="auto"/>
                    <w:right w:val="single" w:sz="4" w:space="0" w:color="auto"/>
                  </w:tcBorders>
                  <w:shd w:val="clear" w:color="auto" w:fill="auto"/>
                  <w:vAlign w:val="center"/>
                  <w:hideMark/>
                </w:tcPr>
                <w:p w14:paraId="3E7C461B"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$ 0</w:t>
                  </w:r>
                </w:p>
              </w:tc>
              <w:tc>
                <w:tcPr>
                  <w:tcW w:w="1985" w:type="dxa"/>
                  <w:tcBorders>
                    <w:top w:val="nil"/>
                    <w:left w:val="nil"/>
                    <w:bottom w:val="single" w:sz="4" w:space="0" w:color="auto"/>
                    <w:right w:val="single" w:sz="4" w:space="0" w:color="auto"/>
                  </w:tcBorders>
                  <w:shd w:val="clear" w:color="auto" w:fill="auto"/>
                  <w:vAlign w:val="center"/>
                  <w:hideMark/>
                </w:tcPr>
                <w:p w14:paraId="409A5C57"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$ 2.872.254.339</w:t>
                  </w:r>
                </w:p>
              </w:tc>
              <w:tc>
                <w:tcPr>
                  <w:tcW w:w="1634" w:type="dxa"/>
                  <w:tcBorders>
                    <w:top w:val="nil"/>
                    <w:left w:val="nil"/>
                    <w:bottom w:val="single" w:sz="4" w:space="0" w:color="auto"/>
                    <w:right w:val="single" w:sz="4" w:space="0" w:color="auto"/>
                  </w:tcBorders>
                  <w:shd w:val="clear" w:color="auto" w:fill="auto"/>
                  <w:vAlign w:val="center"/>
                  <w:hideMark/>
                </w:tcPr>
                <w:p w14:paraId="7CD549F9"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$ 2.872.254.339</w:t>
                  </w:r>
                </w:p>
              </w:tc>
            </w:tr>
            <w:tr w:rsidR="00A0734B" w:rsidRPr="00D26D6E" w14:paraId="39247679" w14:textId="77777777" w:rsidTr="00F10E86">
              <w:trPr>
                <w:trHeight w:val="348"/>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62F0E570"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Pensión y BEPS</w:t>
                  </w:r>
                </w:p>
              </w:tc>
              <w:tc>
                <w:tcPr>
                  <w:tcW w:w="1491" w:type="dxa"/>
                  <w:tcBorders>
                    <w:top w:val="nil"/>
                    <w:left w:val="nil"/>
                    <w:bottom w:val="single" w:sz="4" w:space="0" w:color="auto"/>
                    <w:right w:val="single" w:sz="4" w:space="0" w:color="auto"/>
                  </w:tcBorders>
                  <w:shd w:val="clear" w:color="auto" w:fill="auto"/>
                  <w:vAlign w:val="center"/>
                  <w:hideMark/>
                </w:tcPr>
                <w:p w14:paraId="4E9ED9E5"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$ 2.316.600</w:t>
                  </w:r>
                </w:p>
              </w:tc>
              <w:tc>
                <w:tcPr>
                  <w:tcW w:w="1985" w:type="dxa"/>
                  <w:tcBorders>
                    <w:top w:val="nil"/>
                    <w:left w:val="nil"/>
                    <w:bottom w:val="single" w:sz="4" w:space="0" w:color="auto"/>
                    <w:right w:val="single" w:sz="4" w:space="0" w:color="auto"/>
                  </w:tcBorders>
                  <w:shd w:val="clear" w:color="auto" w:fill="auto"/>
                  <w:vAlign w:val="center"/>
                  <w:hideMark/>
                </w:tcPr>
                <w:p w14:paraId="3F1A08B9"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$ 2.194.482.800</w:t>
                  </w:r>
                </w:p>
              </w:tc>
              <w:tc>
                <w:tcPr>
                  <w:tcW w:w="1634" w:type="dxa"/>
                  <w:tcBorders>
                    <w:top w:val="nil"/>
                    <w:left w:val="nil"/>
                    <w:bottom w:val="single" w:sz="4" w:space="0" w:color="auto"/>
                    <w:right w:val="single" w:sz="4" w:space="0" w:color="auto"/>
                  </w:tcBorders>
                  <w:shd w:val="clear" w:color="auto" w:fill="auto"/>
                  <w:vAlign w:val="center"/>
                  <w:hideMark/>
                </w:tcPr>
                <w:p w14:paraId="64CD7593"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$ 2.196.799.400</w:t>
                  </w:r>
                </w:p>
              </w:tc>
            </w:tr>
            <w:tr w:rsidR="00A0734B" w:rsidRPr="00D26D6E" w14:paraId="5C2F0124" w14:textId="77777777" w:rsidTr="00144891">
              <w:trPr>
                <w:trHeight w:val="236"/>
              </w:trPr>
              <w:tc>
                <w:tcPr>
                  <w:tcW w:w="1767" w:type="dxa"/>
                  <w:tcBorders>
                    <w:top w:val="nil"/>
                    <w:left w:val="single" w:sz="4" w:space="0" w:color="auto"/>
                    <w:bottom w:val="single" w:sz="4" w:space="0" w:color="auto"/>
                    <w:right w:val="single" w:sz="4" w:space="0" w:color="auto"/>
                  </w:tcBorders>
                  <w:shd w:val="clear" w:color="auto" w:fill="auto"/>
                  <w:vAlign w:val="center"/>
                  <w:hideMark/>
                </w:tcPr>
                <w:p w14:paraId="46E1D347" w14:textId="77777777" w:rsidR="00A0734B" w:rsidRPr="00D26D6E" w:rsidRDefault="00A0734B" w:rsidP="00A0734B">
                  <w:pPr>
                    <w:spacing w:after="0" w:line="240" w:lineRule="auto"/>
                    <w:rPr>
                      <w:rFonts w:eastAsia="Times New Roman"/>
                      <w:color w:val="000000"/>
                      <w:sz w:val="18"/>
                      <w:lang w:eastAsia="es-CO"/>
                    </w:rPr>
                  </w:pPr>
                  <w:r w:rsidRPr="00D26D6E">
                    <w:rPr>
                      <w:rFonts w:eastAsia="Times New Roman"/>
                      <w:color w:val="000000"/>
                      <w:sz w:val="18"/>
                      <w:lang w:eastAsia="es-CO"/>
                    </w:rPr>
                    <w:t>Asignación Básica Mensual</w:t>
                  </w:r>
                </w:p>
              </w:tc>
              <w:tc>
                <w:tcPr>
                  <w:tcW w:w="1491" w:type="dxa"/>
                  <w:tcBorders>
                    <w:top w:val="nil"/>
                    <w:left w:val="nil"/>
                    <w:bottom w:val="single" w:sz="4" w:space="0" w:color="auto"/>
                    <w:right w:val="single" w:sz="4" w:space="0" w:color="auto"/>
                  </w:tcBorders>
                  <w:shd w:val="clear" w:color="auto" w:fill="auto"/>
                  <w:vAlign w:val="center"/>
                  <w:hideMark/>
                </w:tcPr>
                <w:p w14:paraId="60732408"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$ 176.617.368</w:t>
                  </w:r>
                </w:p>
              </w:tc>
              <w:tc>
                <w:tcPr>
                  <w:tcW w:w="1985" w:type="dxa"/>
                  <w:tcBorders>
                    <w:top w:val="nil"/>
                    <w:left w:val="nil"/>
                    <w:bottom w:val="single" w:sz="4" w:space="0" w:color="auto"/>
                    <w:right w:val="single" w:sz="4" w:space="0" w:color="auto"/>
                  </w:tcBorders>
                  <w:shd w:val="clear" w:color="auto" w:fill="auto"/>
                  <w:vAlign w:val="center"/>
                  <w:hideMark/>
                </w:tcPr>
                <w:p w14:paraId="3C3A2D8F"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$ 110.665.957.389</w:t>
                  </w:r>
                </w:p>
              </w:tc>
              <w:tc>
                <w:tcPr>
                  <w:tcW w:w="1634" w:type="dxa"/>
                  <w:tcBorders>
                    <w:top w:val="nil"/>
                    <w:left w:val="nil"/>
                    <w:bottom w:val="single" w:sz="4" w:space="0" w:color="auto"/>
                    <w:right w:val="single" w:sz="4" w:space="0" w:color="auto"/>
                  </w:tcBorders>
                  <w:shd w:val="clear" w:color="auto" w:fill="auto"/>
                  <w:vAlign w:val="center"/>
                  <w:hideMark/>
                </w:tcPr>
                <w:p w14:paraId="1EF29AF2" w14:textId="77777777" w:rsidR="00A0734B" w:rsidRPr="00D26D6E" w:rsidRDefault="00A0734B" w:rsidP="00A0734B">
                  <w:pPr>
                    <w:spacing w:after="0" w:line="240" w:lineRule="auto"/>
                    <w:jc w:val="right"/>
                    <w:rPr>
                      <w:rFonts w:eastAsia="Times New Roman"/>
                      <w:color w:val="000000"/>
                      <w:sz w:val="18"/>
                      <w:lang w:eastAsia="es-CO"/>
                    </w:rPr>
                  </w:pPr>
                  <w:r w:rsidRPr="00D26D6E">
                    <w:rPr>
                      <w:rFonts w:eastAsia="Times New Roman"/>
                      <w:color w:val="000000"/>
                      <w:sz w:val="18"/>
                      <w:lang w:eastAsia="es-CO"/>
                    </w:rPr>
                    <w:t>$ 110.842.574.757</w:t>
                  </w:r>
                </w:p>
              </w:tc>
            </w:tr>
            <w:tr w:rsidR="00144891" w:rsidRPr="00D26D6E" w14:paraId="10E0EAAE" w14:textId="77777777" w:rsidTr="00144891">
              <w:trPr>
                <w:trHeight w:val="450"/>
              </w:trPr>
              <w:tc>
                <w:tcPr>
                  <w:tcW w:w="1767" w:type="dxa"/>
                  <w:tcBorders>
                    <w:top w:val="nil"/>
                    <w:left w:val="single" w:sz="4" w:space="0" w:color="auto"/>
                    <w:bottom w:val="single" w:sz="4" w:space="0" w:color="auto"/>
                    <w:right w:val="single" w:sz="4" w:space="0" w:color="auto"/>
                  </w:tcBorders>
                  <w:shd w:val="clear" w:color="auto" w:fill="D9D9D9" w:themeFill="background1" w:themeFillShade="D9"/>
                </w:tcPr>
                <w:p w14:paraId="11F84DBD" w14:textId="7DB2DF0C" w:rsidR="00144891" w:rsidRPr="00D26D6E" w:rsidRDefault="00144891" w:rsidP="00144891">
                  <w:pPr>
                    <w:spacing w:after="0" w:line="240" w:lineRule="auto"/>
                    <w:rPr>
                      <w:rFonts w:eastAsia="Times New Roman"/>
                      <w:b/>
                      <w:bCs/>
                      <w:color w:val="000000"/>
                      <w:sz w:val="18"/>
                      <w:lang w:eastAsia="es-CO"/>
                    </w:rPr>
                  </w:pPr>
                  <w:r w:rsidRPr="00D26D6E">
                    <w:rPr>
                      <w:rFonts w:eastAsia="Times New Roman"/>
                      <w:b/>
                      <w:bCs/>
                      <w:color w:val="000000"/>
                      <w:sz w:val="18"/>
                      <w:lang w:eastAsia="es-CO"/>
                    </w:rPr>
                    <w:t>TOTAL</w:t>
                  </w:r>
                </w:p>
              </w:tc>
              <w:tc>
                <w:tcPr>
                  <w:tcW w:w="1491" w:type="dxa"/>
                  <w:tcBorders>
                    <w:top w:val="nil"/>
                    <w:left w:val="single" w:sz="4" w:space="0" w:color="auto"/>
                    <w:bottom w:val="single" w:sz="4" w:space="0" w:color="auto"/>
                    <w:right w:val="single" w:sz="4" w:space="0" w:color="auto"/>
                  </w:tcBorders>
                  <w:shd w:val="clear" w:color="auto" w:fill="D9D9D9" w:themeFill="background1" w:themeFillShade="D9"/>
                </w:tcPr>
                <w:p w14:paraId="7DCB0953" w14:textId="5223DAA6" w:rsidR="00144891" w:rsidRPr="00D26D6E" w:rsidRDefault="00144891" w:rsidP="00144891">
                  <w:pPr>
                    <w:spacing w:after="0" w:line="240" w:lineRule="auto"/>
                    <w:rPr>
                      <w:rFonts w:eastAsia="Times New Roman"/>
                      <w:color w:val="000000"/>
                      <w:sz w:val="18"/>
                      <w:lang w:eastAsia="es-CO"/>
                    </w:rPr>
                  </w:pPr>
                  <w:r w:rsidRPr="00D26D6E">
                    <w:rPr>
                      <w:rFonts w:eastAsia="Times New Roman"/>
                      <w:color w:val="000000"/>
                      <w:sz w:val="18"/>
                      <w:lang w:eastAsia="es-CO"/>
                    </w:rPr>
                    <w:t>$ 178.933.968</w:t>
                  </w:r>
                </w:p>
              </w:tc>
              <w:tc>
                <w:tcPr>
                  <w:tcW w:w="1985" w:type="dxa"/>
                  <w:tcBorders>
                    <w:top w:val="nil"/>
                    <w:left w:val="single" w:sz="4" w:space="0" w:color="auto"/>
                    <w:bottom w:val="single" w:sz="4" w:space="0" w:color="auto"/>
                    <w:right w:val="single" w:sz="4" w:space="0" w:color="auto"/>
                  </w:tcBorders>
                  <w:shd w:val="clear" w:color="auto" w:fill="D9D9D9" w:themeFill="background1" w:themeFillShade="D9"/>
                </w:tcPr>
                <w:p w14:paraId="7131A1CC" w14:textId="448805EB" w:rsidR="00144891" w:rsidRPr="00D26D6E" w:rsidRDefault="00144891" w:rsidP="00144891">
                  <w:pPr>
                    <w:spacing w:after="0" w:line="240" w:lineRule="auto"/>
                    <w:rPr>
                      <w:rFonts w:eastAsia="Times New Roman"/>
                      <w:color w:val="000000"/>
                      <w:sz w:val="18"/>
                      <w:lang w:eastAsia="es-CO"/>
                    </w:rPr>
                  </w:pPr>
                  <w:r w:rsidRPr="00D26D6E">
                    <w:rPr>
                      <w:rFonts w:eastAsia="Times New Roman"/>
                      <w:color w:val="000000"/>
                      <w:sz w:val="18"/>
                      <w:lang w:eastAsia="es-CO"/>
                    </w:rPr>
                    <w:t>$ 115.827.194.528</w:t>
                  </w:r>
                </w:p>
              </w:tc>
              <w:tc>
                <w:tcPr>
                  <w:tcW w:w="1634" w:type="dxa"/>
                  <w:tcBorders>
                    <w:top w:val="nil"/>
                    <w:left w:val="single" w:sz="4" w:space="0" w:color="auto"/>
                    <w:bottom w:val="single" w:sz="4" w:space="0" w:color="auto"/>
                    <w:right w:val="single" w:sz="4" w:space="0" w:color="auto"/>
                  </w:tcBorders>
                  <w:shd w:val="clear" w:color="auto" w:fill="D9D9D9" w:themeFill="background1" w:themeFillShade="D9"/>
                </w:tcPr>
                <w:p w14:paraId="1818F7A3" w14:textId="3157ECA0" w:rsidR="00144891" w:rsidRPr="00D26D6E" w:rsidRDefault="00144891" w:rsidP="00144891">
                  <w:pPr>
                    <w:spacing w:after="0" w:line="240" w:lineRule="auto"/>
                    <w:rPr>
                      <w:rFonts w:eastAsia="Times New Roman"/>
                      <w:color w:val="000000"/>
                      <w:sz w:val="18"/>
                      <w:lang w:eastAsia="es-CO"/>
                    </w:rPr>
                  </w:pPr>
                  <w:r w:rsidRPr="00D26D6E">
                    <w:rPr>
                      <w:rFonts w:eastAsia="Times New Roman"/>
                      <w:color w:val="000000"/>
                      <w:sz w:val="18"/>
                      <w:lang w:eastAsia="es-CO"/>
                    </w:rPr>
                    <w:t>$ 116.006.128.496</w:t>
                  </w:r>
                </w:p>
              </w:tc>
            </w:tr>
          </w:tbl>
          <w:p w14:paraId="1F97CD1C" w14:textId="77777777" w:rsidR="00A0734B" w:rsidRDefault="00A0734B" w:rsidP="00A0734B">
            <w:pPr>
              <w:jc w:val="both"/>
              <w:rPr>
                <w:i/>
                <w:sz w:val="24"/>
                <w:szCs w:val="24"/>
              </w:rPr>
            </w:pPr>
            <w:r>
              <w:rPr>
                <w:i/>
                <w:sz w:val="24"/>
                <w:szCs w:val="24"/>
              </w:rPr>
              <w:t xml:space="preserve">        Fuente: Subdirección Financiera - ARN</w:t>
            </w:r>
          </w:p>
          <w:p w14:paraId="1DA471FB" w14:textId="77777777" w:rsidR="00A0734B" w:rsidRDefault="00A0734B" w:rsidP="00A0734B">
            <w:pPr>
              <w:rPr>
                <w:color w:val="1F497D"/>
              </w:rPr>
            </w:pPr>
          </w:p>
          <w:p w14:paraId="48B5769C" w14:textId="77777777" w:rsidR="00A0734B" w:rsidRDefault="00A0734B" w:rsidP="00631DF4">
            <w:pPr>
              <w:pStyle w:val="Prrafodelista"/>
              <w:numPr>
                <w:ilvl w:val="0"/>
                <w:numId w:val="33"/>
              </w:numPr>
              <w:jc w:val="both"/>
              <w:rPr>
                <w:rFonts w:cstheme="minorHAnsi"/>
              </w:rPr>
            </w:pPr>
            <w:r w:rsidRPr="00FD1843">
              <w:rPr>
                <w:rFonts w:cstheme="minorHAnsi"/>
              </w:rPr>
              <w:lastRenderedPageBreak/>
              <w:t>Durante la vigencia 2021, se realizaron 53 desembolsos de Asignación Única de Normalización</w:t>
            </w:r>
            <w:r>
              <w:rPr>
                <w:rFonts w:cstheme="minorHAnsi"/>
              </w:rPr>
              <w:t xml:space="preserve">, </w:t>
            </w:r>
            <w:r w:rsidRPr="00FD1843">
              <w:rPr>
                <w:rFonts w:cstheme="minorHAnsi"/>
              </w:rPr>
              <w:t>beneficiando al mismo número de acreditados, distribuidos por genero de la siguiente manera: A) Femenino: 11 B) Masculino: 42, representado el 100% del total de Integrantes FARC-EP que cumplieron requisitos para dicho desembolso, alcanzando un total 13</w:t>
            </w:r>
            <w:r>
              <w:rPr>
                <w:rFonts w:cstheme="minorHAnsi"/>
              </w:rPr>
              <w:t>.</w:t>
            </w:r>
            <w:r w:rsidRPr="00FD1843">
              <w:rPr>
                <w:rFonts w:cstheme="minorHAnsi"/>
              </w:rPr>
              <w:t xml:space="preserve">236 </w:t>
            </w:r>
            <w:r>
              <w:rPr>
                <w:rFonts w:cstheme="minorHAnsi"/>
              </w:rPr>
              <w:t>e</w:t>
            </w:r>
            <w:r w:rsidRPr="00FD1843">
              <w:rPr>
                <w:rFonts w:cstheme="minorHAnsi"/>
              </w:rPr>
              <w:t xml:space="preserve">x </w:t>
            </w:r>
            <w:r>
              <w:rPr>
                <w:rFonts w:cstheme="minorHAnsi"/>
              </w:rPr>
              <w:t>i</w:t>
            </w:r>
            <w:r w:rsidRPr="00FD1843">
              <w:rPr>
                <w:rFonts w:cstheme="minorHAnsi"/>
              </w:rPr>
              <w:t>ntegrantes FARC-EP beneficiarios con desembolso</w:t>
            </w:r>
            <w:r>
              <w:rPr>
                <w:rFonts w:cstheme="minorHAnsi"/>
              </w:rPr>
              <w:t xml:space="preserve">, </w:t>
            </w:r>
            <w:r w:rsidRPr="00377266">
              <w:rPr>
                <w:rFonts w:cstheme="minorHAnsi"/>
              </w:rPr>
              <w:t>La información categorizada por género, es: A) Femenino: 3.0</w:t>
            </w:r>
            <w:r>
              <w:rPr>
                <w:rFonts w:cstheme="minorHAnsi"/>
              </w:rPr>
              <w:t>99</w:t>
            </w:r>
            <w:r w:rsidRPr="00377266">
              <w:rPr>
                <w:rFonts w:cstheme="minorHAnsi"/>
              </w:rPr>
              <w:t xml:space="preserve"> beneficiarias, y B) Masculino: 10.</w:t>
            </w:r>
            <w:r>
              <w:rPr>
                <w:rFonts w:cstheme="minorHAnsi"/>
              </w:rPr>
              <w:t>137</w:t>
            </w:r>
            <w:r w:rsidRPr="00FD1843">
              <w:rPr>
                <w:rFonts w:cstheme="minorHAnsi"/>
              </w:rPr>
              <w:t>.</w:t>
            </w:r>
          </w:p>
          <w:p w14:paraId="749422FF" w14:textId="77777777" w:rsidR="00A0734B" w:rsidRPr="000D1845" w:rsidRDefault="00A0734B" w:rsidP="00A0734B">
            <w:pPr>
              <w:pStyle w:val="Prrafodelista"/>
              <w:jc w:val="both"/>
              <w:rPr>
                <w:rFonts w:cstheme="minorHAnsi"/>
              </w:rPr>
            </w:pPr>
          </w:p>
          <w:p w14:paraId="720F9927" w14:textId="77777777" w:rsidR="00A0734B" w:rsidRDefault="00A0734B" w:rsidP="00631DF4">
            <w:pPr>
              <w:pStyle w:val="Prrafodelista"/>
              <w:numPr>
                <w:ilvl w:val="0"/>
                <w:numId w:val="33"/>
              </w:numPr>
              <w:jc w:val="both"/>
              <w:rPr>
                <w:rFonts w:cstheme="minorHAnsi"/>
              </w:rPr>
            </w:pPr>
            <w:r w:rsidRPr="000D1845">
              <w:rPr>
                <w:rFonts w:cstheme="minorHAnsi"/>
              </w:rPr>
              <w:t>Durante la vigencia 2021, se realizaron 3.571 desembolsos de Renta Básica beneficiando a 381 acreditados, distribuidos por genero de la siguiente manera: A) Femenino: 116 B) Masculino: 265, representado el 100% del total de Integrantes FARC-EP que cumplieron requisitos para dicho desembolso</w:t>
            </w:r>
            <w:r>
              <w:rPr>
                <w:rFonts w:cstheme="minorHAnsi"/>
              </w:rPr>
              <w:t>.</w:t>
            </w:r>
          </w:p>
          <w:p w14:paraId="5B736B92" w14:textId="77777777" w:rsidR="00A0734B" w:rsidRPr="000D1845" w:rsidRDefault="00A0734B" w:rsidP="00A0734B">
            <w:pPr>
              <w:pStyle w:val="Prrafodelista"/>
              <w:rPr>
                <w:rFonts w:cstheme="minorHAnsi"/>
              </w:rPr>
            </w:pPr>
          </w:p>
          <w:p w14:paraId="75F2AA5C" w14:textId="77777777" w:rsidR="00A0734B" w:rsidRDefault="00A0734B" w:rsidP="00631DF4">
            <w:pPr>
              <w:pStyle w:val="Prrafodelista"/>
              <w:numPr>
                <w:ilvl w:val="0"/>
                <w:numId w:val="33"/>
              </w:numPr>
              <w:jc w:val="both"/>
              <w:rPr>
                <w:rFonts w:cstheme="minorHAnsi"/>
              </w:rPr>
            </w:pPr>
            <w:r w:rsidRPr="000D1845">
              <w:rPr>
                <w:rFonts w:cstheme="minorHAnsi"/>
              </w:rPr>
              <w:t>Durante la vigencia 2021, se ejecutaron 15.152 pagos pensionales, beneficiando a 2.086 acreditados, distribuidos por genero de la siguiente manera: A) Femenino: 551 B) Masculino: 1.535, representado el 100% del total de Integrantes FARC-EP que cumplieron requisitos para dicho desembolso.</w:t>
            </w:r>
          </w:p>
          <w:p w14:paraId="797E81F5" w14:textId="77777777" w:rsidR="00A0734B" w:rsidRPr="000D1845" w:rsidRDefault="00A0734B" w:rsidP="00A0734B">
            <w:pPr>
              <w:pStyle w:val="Prrafodelista"/>
              <w:rPr>
                <w:rFonts w:cstheme="minorHAnsi"/>
              </w:rPr>
            </w:pPr>
          </w:p>
          <w:p w14:paraId="3838BBC7" w14:textId="7EB19434" w:rsidR="007D5F9E" w:rsidRDefault="00A0734B" w:rsidP="00D26D6E">
            <w:pPr>
              <w:jc w:val="both"/>
              <w:rPr>
                <w:sz w:val="24"/>
                <w:szCs w:val="24"/>
              </w:rPr>
            </w:pPr>
            <w:r w:rsidRPr="00993315">
              <w:rPr>
                <w:rFonts w:cstheme="minorHAnsi"/>
              </w:rPr>
              <w:t>Durante la vigencia 2021, se realizaron 135.559 desembolsos de Asignación mensual, beneficiando a 11.819 acreditados, distribuidos por genero de la siguiente manera: A) Femenino: 2.967 B) Masculino: 8.852, representado el 100% del total de Integrantes FARC-EP que cumplieron requisitos para dicho desembolso.</w:t>
            </w:r>
          </w:p>
        </w:tc>
      </w:tr>
      <w:tr w:rsidR="007D5F9E" w14:paraId="0C75544A"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59B74467" w14:textId="77777777" w:rsidR="007D5F9E" w:rsidRDefault="007D5F9E" w:rsidP="007D5F9E">
            <w:pPr>
              <w:jc w:val="center"/>
              <w:rPr>
                <w:sz w:val="24"/>
                <w:szCs w:val="24"/>
              </w:rPr>
            </w:pPr>
            <w:r>
              <w:rPr>
                <w:noProof/>
                <w:lang w:eastAsia="es-CO"/>
              </w:rPr>
              <w:lastRenderedPageBreak/>
              <w:drawing>
                <wp:inline distT="0" distB="0" distL="0" distR="0" wp14:anchorId="29A2D11D" wp14:editId="663D0B4B">
                  <wp:extent cx="942975" cy="838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66C80E57" w14:textId="77777777" w:rsidR="007D5F9E" w:rsidRDefault="007D5F9E" w:rsidP="007D5F9E">
            <w:pPr>
              <w:jc w:val="both"/>
              <w:rPr>
                <w:color w:val="002060"/>
                <w:sz w:val="28"/>
                <w:szCs w:val="28"/>
              </w:rPr>
            </w:pPr>
            <w:r>
              <w:rPr>
                <w:color w:val="002060"/>
                <w:sz w:val="28"/>
                <w:szCs w:val="28"/>
              </w:rPr>
              <w:t>¿En qué municipios desarrollamos la acción?</w:t>
            </w:r>
          </w:p>
          <w:p w14:paraId="1E7819B4" w14:textId="77777777" w:rsidR="00D26D6E" w:rsidRDefault="00D26D6E" w:rsidP="007D5F9E">
            <w:pPr>
              <w:jc w:val="both"/>
              <w:rPr>
                <w:rFonts w:cstheme="minorHAnsi"/>
              </w:rPr>
            </w:pPr>
          </w:p>
          <w:p w14:paraId="7CE586E7" w14:textId="5A4EF392" w:rsidR="007D5F9E" w:rsidRDefault="00D26D6E" w:rsidP="00D26D6E">
            <w:pPr>
              <w:jc w:val="both"/>
              <w:rPr>
                <w:sz w:val="24"/>
                <w:szCs w:val="24"/>
              </w:rPr>
            </w:pPr>
            <w:r w:rsidRPr="00377266">
              <w:rPr>
                <w:rFonts w:cstheme="minorHAnsi"/>
              </w:rPr>
              <w:t>Los desembolsos de los beneficios económicos de Asignación Única de Normalización, Renta Básica y Asignación Mensual, establecidos en el Decreto ley 899 de 2017, modificado</w:t>
            </w:r>
            <w:r>
              <w:rPr>
                <w:rFonts w:cstheme="minorHAnsi"/>
              </w:rPr>
              <w:t xml:space="preserve"> parcialmente</w:t>
            </w:r>
            <w:r w:rsidRPr="00377266">
              <w:rPr>
                <w:rFonts w:cstheme="minorHAnsi"/>
              </w:rPr>
              <w:t xml:space="preserve"> por el Art.284 de 2019, son entregados directamente a </w:t>
            </w:r>
            <w:r>
              <w:rPr>
                <w:rFonts w:cstheme="minorHAnsi"/>
              </w:rPr>
              <w:t>l</w:t>
            </w:r>
            <w:r w:rsidRPr="00377266">
              <w:rPr>
                <w:rFonts w:cstheme="minorHAnsi"/>
              </w:rPr>
              <w:t>a población en proceso de Reincorporación mediante abono en cuenta; la cual es una población flotante y en constante movimiento en el territorio Nacional, por lo cual la territorialización de estas acciones es todo el territorio nacional. Adicional</w:t>
            </w:r>
            <w:r>
              <w:rPr>
                <w:rFonts w:cstheme="minorHAnsi"/>
              </w:rPr>
              <w:t>mente</w:t>
            </w:r>
            <w:r w:rsidRPr="00377266">
              <w:rPr>
                <w:rFonts w:cstheme="minorHAnsi"/>
              </w:rPr>
              <w:t>, se resalta que el pago al Sistema de Protección a la Vejez</w:t>
            </w:r>
            <w:r>
              <w:rPr>
                <w:rFonts w:cstheme="minorHAnsi"/>
              </w:rPr>
              <w:t>,</w:t>
            </w:r>
            <w:r w:rsidRPr="00377266">
              <w:rPr>
                <w:rFonts w:cstheme="minorHAnsi"/>
              </w:rPr>
              <w:t xml:space="preserve"> se realiza directamente a la Administradora de Pensiones en la que se encuentra afiliada cada persona beneficiada o directamente</w:t>
            </w:r>
            <w:r w:rsidRPr="00377266" w:rsidDel="00CE7088">
              <w:rPr>
                <w:rFonts w:cstheme="minorHAnsi"/>
              </w:rPr>
              <w:t xml:space="preserve"> </w:t>
            </w:r>
            <w:r w:rsidRPr="00377266">
              <w:rPr>
                <w:rFonts w:cstheme="minorHAnsi"/>
              </w:rPr>
              <w:t>al programa BEPS</w:t>
            </w:r>
            <w:r>
              <w:rPr>
                <w:rFonts w:cstheme="minorHAnsi"/>
              </w:rPr>
              <w:t xml:space="preserve"> - Colpensiones</w:t>
            </w:r>
            <w:r w:rsidRPr="00377266">
              <w:rPr>
                <w:rFonts w:cstheme="minorHAnsi"/>
              </w:rPr>
              <w:t>, según corresponda.</w:t>
            </w:r>
          </w:p>
        </w:tc>
      </w:tr>
      <w:tr w:rsidR="007D5F9E" w14:paraId="4D4ECB6A"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0C2F64D7" w14:textId="77777777" w:rsidR="007D5F9E" w:rsidRDefault="007D5F9E" w:rsidP="007D5F9E">
            <w:pPr>
              <w:jc w:val="center"/>
            </w:pPr>
            <w:r>
              <w:rPr>
                <w:noProof/>
                <w:color w:val="3366CC"/>
                <w:lang w:eastAsia="es-CO"/>
              </w:rPr>
              <w:drawing>
                <wp:inline distT="0" distB="0" distL="0" distR="0" wp14:anchorId="4EE71A35" wp14:editId="12E5348E">
                  <wp:extent cx="962025" cy="857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113C4A4D" w14:textId="77777777" w:rsidR="007D5F9E" w:rsidRDefault="007D5F9E" w:rsidP="007D5F9E">
            <w:pPr>
              <w:jc w:val="both"/>
              <w:rPr>
                <w:color w:val="002060"/>
                <w:sz w:val="28"/>
                <w:szCs w:val="28"/>
              </w:rPr>
            </w:pPr>
            <w:r>
              <w:rPr>
                <w:color w:val="002060"/>
                <w:sz w:val="28"/>
                <w:szCs w:val="28"/>
              </w:rPr>
              <w:t>¿Qué desafíos y retos tuvimos para el cumplimiento?</w:t>
            </w:r>
          </w:p>
          <w:p w14:paraId="235244D4" w14:textId="77777777" w:rsidR="00144D4F" w:rsidRDefault="00144D4F" w:rsidP="00973C68"/>
          <w:p w14:paraId="7A746C83" w14:textId="34A1193F" w:rsidR="00973C68" w:rsidRDefault="00973C68" w:rsidP="00973C68">
            <w:r>
              <w:t xml:space="preserve">Con la identificación del nuevo virus COVID-19 y la declaración de la Emergencia Sanitaria por parte del Gobierno Nacional, así como el confinamiento en el Territorio Nacional,  la Agencia para la Reincorporación y la Normalización – ARN, adelanto actividades en pro del beneficio de la población en proceso de Reincorporación durante esta Emergencia Sanitaria, expidiendo Resoluciones que establecían medidas transitorias que </w:t>
            </w:r>
            <w:r>
              <w:lastRenderedPageBreak/>
              <w:t>flexibilizaban los requisitos para el reconocimiento de la Asignación Mensual, con el fin de poder contar con una mayor cobertura de población con desembolso de Asignación Mensual, los actos administrativos expedidos son los siguiente:</w:t>
            </w:r>
          </w:p>
          <w:p w14:paraId="5F73CFEE" w14:textId="77777777" w:rsidR="00973C68" w:rsidRDefault="00973C68" w:rsidP="00973C68"/>
          <w:p w14:paraId="7CACC87A" w14:textId="0B93E001" w:rsidR="00973C68" w:rsidRDefault="00973C68" w:rsidP="00973C68">
            <w:pPr>
              <w:pStyle w:val="Prrafodelista"/>
              <w:numPr>
                <w:ilvl w:val="0"/>
                <w:numId w:val="49"/>
              </w:numPr>
              <w:tabs>
                <w:tab w:val="left" w:pos="13"/>
                <w:tab w:val="left" w:pos="297"/>
              </w:tabs>
              <w:ind w:left="13" w:hanging="13"/>
            </w:pPr>
            <w:r>
              <w:t>Resolución 066 del 25 de enero de 2021, “Por la cual se establecen medidas transitorias para el reconocimiento de la Asignación Mensual en el marco del proceso de reincorporación y se dictan otras disposiciones”, el cual comprendió un periodo de desembolso de febrero 2021 a julio 2021.</w:t>
            </w:r>
          </w:p>
          <w:p w14:paraId="536463A0" w14:textId="187286DF" w:rsidR="007D5F9E" w:rsidRPr="00C24183" w:rsidRDefault="00973C68" w:rsidP="00973C68">
            <w:pPr>
              <w:pStyle w:val="Prrafodelista"/>
              <w:numPr>
                <w:ilvl w:val="0"/>
                <w:numId w:val="49"/>
              </w:numPr>
              <w:tabs>
                <w:tab w:val="left" w:pos="13"/>
                <w:tab w:val="left" w:pos="297"/>
              </w:tabs>
              <w:ind w:left="13" w:hanging="13"/>
            </w:pPr>
            <w:r>
              <w:t>Resolución 1704 del 06 de agosto de 2021 “Por la cual se prorroga la fase de transición prevista para el reconocimiento de la Asignación Mensual en el Marco del proceso de reincorporación y se dictan otras disposiciones”, el cual comprende el periodo de desembolso de agosto 2021 a marzo 2022.</w:t>
            </w:r>
          </w:p>
        </w:tc>
      </w:tr>
    </w:tbl>
    <w:p w14:paraId="5E09B3F3" w14:textId="7E1DE221" w:rsidR="007D5F9E" w:rsidRDefault="007D5F9E"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095"/>
      </w:tblGrid>
      <w:tr w:rsidR="00D26D6E" w14:paraId="722FCCA1" w14:textId="77777777" w:rsidTr="00D26D6E">
        <w:tc>
          <w:tcPr>
            <w:tcW w:w="1838" w:type="dxa"/>
          </w:tcPr>
          <w:p w14:paraId="2FF22315" w14:textId="77777777" w:rsidR="00D26D6E" w:rsidRDefault="00D26D6E" w:rsidP="00715628">
            <w:pPr>
              <w:jc w:val="both"/>
              <w:rPr>
                <w:sz w:val="24"/>
                <w:szCs w:val="24"/>
              </w:rPr>
            </w:pPr>
          </w:p>
          <w:p w14:paraId="52CEAD05" w14:textId="77777777" w:rsidR="00D26D6E" w:rsidRDefault="00D26D6E" w:rsidP="00715628">
            <w:pPr>
              <w:jc w:val="both"/>
              <w:rPr>
                <w:sz w:val="24"/>
                <w:szCs w:val="24"/>
              </w:rPr>
            </w:pPr>
          </w:p>
          <w:p w14:paraId="7E105F3D" w14:textId="7738A2E9" w:rsidR="00D26D6E" w:rsidRDefault="00D26D6E" w:rsidP="00715628">
            <w:pPr>
              <w:jc w:val="both"/>
              <w:rPr>
                <w:sz w:val="24"/>
                <w:szCs w:val="24"/>
              </w:rPr>
            </w:pPr>
            <w:r w:rsidRPr="00E16171">
              <w:rPr>
                <w:noProof/>
                <w:sz w:val="20"/>
                <w:szCs w:val="20"/>
                <w:lang w:eastAsia="es-CO"/>
              </w:rPr>
              <w:drawing>
                <wp:inline distT="0" distB="0" distL="0" distR="0" wp14:anchorId="21148F11" wp14:editId="2CC146F5">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tc>
        <w:tc>
          <w:tcPr>
            <w:tcW w:w="6095" w:type="dxa"/>
          </w:tcPr>
          <w:p w14:paraId="5522A543" w14:textId="660DB55D" w:rsidR="00D26D6E" w:rsidRDefault="00D26D6E" w:rsidP="00715628">
            <w:pPr>
              <w:jc w:val="both"/>
              <w:rPr>
                <w:b/>
                <w:color w:val="002060"/>
                <w:sz w:val="40"/>
                <w:szCs w:val="72"/>
                <w:u w:val="single"/>
              </w:rPr>
            </w:pPr>
            <w:r w:rsidRPr="0029180F">
              <w:rPr>
                <w:b/>
                <w:color w:val="002060"/>
                <w:sz w:val="40"/>
                <w:szCs w:val="72"/>
                <w:u w:val="single"/>
              </w:rPr>
              <w:t xml:space="preserve">Punto </w:t>
            </w:r>
            <w:r>
              <w:rPr>
                <w:b/>
                <w:color w:val="002060"/>
                <w:sz w:val="40"/>
                <w:szCs w:val="72"/>
                <w:u w:val="single"/>
              </w:rPr>
              <w:t>6</w:t>
            </w:r>
            <w:r w:rsidRPr="0029180F">
              <w:rPr>
                <w:b/>
                <w:color w:val="002060"/>
                <w:sz w:val="40"/>
                <w:szCs w:val="72"/>
                <w:u w:val="single"/>
              </w:rPr>
              <w:t xml:space="preserve"> del Acuerdo</w:t>
            </w:r>
          </w:p>
          <w:p w14:paraId="2D2AF028" w14:textId="77777777" w:rsidR="00D26D6E" w:rsidRPr="0029180F" w:rsidRDefault="00D26D6E" w:rsidP="00715628">
            <w:pPr>
              <w:jc w:val="both"/>
              <w:rPr>
                <w:b/>
                <w:color w:val="002060"/>
                <w:sz w:val="40"/>
                <w:szCs w:val="72"/>
                <w:u w:val="single"/>
              </w:rPr>
            </w:pPr>
          </w:p>
          <w:p w14:paraId="634BE8D3" w14:textId="6BE2C0D4" w:rsidR="00D26D6E" w:rsidRDefault="00D26D6E" w:rsidP="00715628">
            <w:pPr>
              <w:jc w:val="both"/>
              <w:rPr>
                <w:sz w:val="24"/>
                <w:szCs w:val="24"/>
              </w:rPr>
            </w:pPr>
            <w:r w:rsidRPr="0029180F">
              <w:rPr>
                <w:b/>
                <w:color w:val="002060"/>
                <w:sz w:val="48"/>
                <w:szCs w:val="72"/>
                <w:u w:val="single"/>
              </w:rPr>
              <w:t>I</w:t>
            </w:r>
            <w:r>
              <w:rPr>
                <w:b/>
                <w:color w:val="002060"/>
                <w:sz w:val="48"/>
                <w:szCs w:val="72"/>
                <w:u w:val="single"/>
              </w:rPr>
              <w:t>mplementación, verificación y refrendación</w:t>
            </w:r>
          </w:p>
        </w:tc>
      </w:tr>
    </w:tbl>
    <w:p w14:paraId="7353F97A" w14:textId="7796C5B0" w:rsidR="00D26D6E" w:rsidRDefault="00D26D6E" w:rsidP="007D5F9E">
      <w:pPr>
        <w:spacing w:after="0" w:line="240" w:lineRule="auto"/>
        <w:jc w:val="both"/>
        <w:rPr>
          <w:b/>
          <w:i/>
          <w:sz w:val="32"/>
          <w:szCs w:val="24"/>
        </w:rPr>
      </w:pPr>
    </w:p>
    <w:p w14:paraId="6E2AE141" w14:textId="77777777" w:rsidR="00D26D6E" w:rsidRDefault="00D26D6E" w:rsidP="007D5F9E">
      <w:pPr>
        <w:spacing w:after="0" w:line="240" w:lineRule="auto"/>
        <w:jc w:val="both"/>
        <w:rPr>
          <w:b/>
          <w:i/>
          <w:sz w:val="32"/>
          <w:szCs w:val="24"/>
        </w:rPr>
      </w:pPr>
    </w:p>
    <w:p w14:paraId="4F2E7607" w14:textId="11A3D378" w:rsidR="007D5F9E" w:rsidRPr="0048016F" w:rsidRDefault="007D5F9E" w:rsidP="007D5F9E">
      <w:pPr>
        <w:spacing w:after="0" w:line="240" w:lineRule="auto"/>
        <w:jc w:val="both"/>
        <w:rPr>
          <w:b/>
          <w:i/>
          <w:sz w:val="32"/>
          <w:szCs w:val="24"/>
        </w:rPr>
      </w:pPr>
      <w:r w:rsidRPr="0048016F">
        <w:rPr>
          <w:b/>
          <w:i/>
          <w:sz w:val="32"/>
          <w:szCs w:val="24"/>
        </w:rPr>
        <w:t xml:space="preserve">Acción </w:t>
      </w:r>
      <w:r w:rsidR="00524D95">
        <w:rPr>
          <w:b/>
          <w:i/>
          <w:sz w:val="32"/>
          <w:szCs w:val="24"/>
        </w:rPr>
        <w:t>1</w:t>
      </w:r>
    </w:p>
    <w:p w14:paraId="4472CF19" w14:textId="77777777" w:rsidR="007D5F9E" w:rsidRDefault="007D5F9E" w:rsidP="007D5F9E">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7D5F9E" w14:paraId="518F1B5A"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37FC2C9" w14:textId="77777777" w:rsidR="007D5F9E" w:rsidRDefault="007D5F9E" w:rsidP="007D5F9E">
            <w:pPr>
              <w:jc w:val="center"/>
              <w:rPr>
                <w:sz w:val="36"/>
                <w:szCs w:val="36"/>
              </w:rPr>
            </w:pPr>
            <w:r>
              <w:rPr>
                <w:sz w:val="36"/>
                <w:szCs w:val="36"/>
              </w:rPr>
              <w:t>Compromiso</w:t>
            </w:r>
          </w:p>
        </w:tc>
        <w:tc>
          <w:tcPr>
            <w:tcW w:w="6299" w:type="dxa"/>
            <w:gridSpan w:val="4"/>
            <w:tcBorders>
              <w:top w:val="single" w:sz="4" w:space="0" w:color="0070C0"/>
              <w:left w:val="single" w:sz="4" w:space="0" w:color="0070C0"/>
              <w:bottom w:val="single" w:sz="4" w:space="0" w:color="0070C0"/>
              <w:right w:val="single" w:sz="4" w:space="0" w:color="0070C0"/>
            </w:tcBorders>
          </w:tcPr>
          <w:p w14:paraId="50225E79" w14:textId="3D4D3C5F" w:rsidR="007D5F9E" w:rsidRPr="00524D95" w:rsidRDefault="00524D95" w:rsidP="00524D95">
            <w:pPr>
              <w:jc w:val="both"/>
              <w:rPr>
                <w:sz w:val="24"/>
                <w:szCs w:val="24"/>
              </w:rPr>
            </w:pPr>
            <w:r w:rsidRPr="00524D95">
              <w:rPr>
                <w:sz w:val="24"/>
                <w:szCs w:val="24"/>
              </w:rPr>
              <w:t>En el Marco del Fin del Conflicto asociado a punto 6: a) Mujeres excombatientes pertenecientes a pueblos étnicos beneficiarias del programa especial de armonización para la reintegración y la reincorporación, b) Programa especial de armonización para la reintegración y reincorporación social y económica con enfoque diferencial étnico y de género concertado, diseñado e implementado.</w:t>
            </w:r>
          </w:p>
        </w:tc>
      </w:tr>
      <w:tr w:rsidR="007D5F9E" w14:paraId="3792D816" w14:textId="77777777" w:rsidTr="007D5F9E">
        <w:tc>
          <w:tcPr>
            <w:tcW w:w="2529"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7A192BE6" w14:textId="77777777" w:rsidR="007D5F9E" w:rsidRDefault="007D5F9E" w:rsidP="007D5F9E">
            <w:pPr>
              <w:jc w:val="center"/>
              <w:rPr>
                <w:sz w:val="36"/>
                <w:szCs w:val="36"/>
              </w:rPr>
            </w:pPr>
            <w:r>
              <w:rPr>
                <w:sz w:val="24"/>
                <w:szCs w:val="24"/>
              </w:rPr>
              <w:t>Indicador</w:t>
            </w:r>
          </w:p>
        </w:tc>
        <w:tc>
          <w:tcPr>
            <w:tcW w:w="1821"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32B61F73" w14:textId="77777777" w:rsidR="007D5F9E" w:rsidRDefault="007D5F9E" w:rsidP="007D5F9E">
            <w:pPr>
              <w:jc w:val="center"/>
              <w:rPr>
                <w:sz w:val="36"/>
                <w:szCs w:val="36"/>
                <w:highlight w:val="yellow"/>
              </w:rPr>
            </w:pPr>
            <w:r>
              <w:rPr>
                <w:sz w:val="24"/>
                <w:szCs w:val="24"/>
              </w:rPr>
              <w:t>Tipo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0FE1533A" w14:textId="77777777" w:rsidR="007D5F9E" w:rsidRDefault="007D5F9E" w:rsidP="007D5F9E">
            <w:pPr>
              <w:jc w:val="center"/>
              <w:rPr>
                <w:sz w:val="36"/>
                <w:szCs w:val="36"/>
                <w:highlight w:val="yellow"/>
              </w:rPr>
            </w:pPr>
            <w:r>
              <w:rPr>
                <w:sz w:val="24"/>
                <w:szCs w:val="24"/>
              </w:rPr>
              <w:t>Inicio</w:t>
            </w:r>
          </w:p>
        </w:tc>
        <w:tc>
          <w:tcPr>
            <w:tcW w:w="1030"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2428062" w14:textId="77777777" w:rsidR="007D5F9E" w:rsidRDefault="007D5F9E" w:rsidP="007D5F9E">
            <w:pPr>
              <w:jc w:val="center"/>
              <w:rPr>
                <w:sz w:val="36"/>
                <w:szCs w:val="36"/>
                <w:highlight w:val="yellow"/>
              </w:rPr>
            </w:pPr>
            <w:r>
              <w:rPr>
                <w:sz w:val="24"/>
                <w:szCs w:val="24"/>
              </w:rPr>
              <w:t>Fin</w:t>
            </w:r>
          </w:p>
        </w:tc>
        <w:tc>
          <w:tcPr>
            <w:tcW w:w="2418" w:type="dxa"/>
            <w:tcBorders>
              <w:top w:val="single" w:sz="4" w:space="0" w:color="0070C0"/>
              <w:left w:val="single" w:sz="4" w:space="0" w:color="0070C0"/>
              <w:bottom w:val="single" w:sz="4" w:space="0" w:color="0070C0"/>
              <w:right w:val="single" w:sz="4" w:space="0" w:color="0070C0"/>
            </w:tcBorders>
            <w:shd w:val="clear" w:color="auto" w:fill="002060"/>
            <w:vAlign w:val="center"/>
            <w:hideMark/>
          </w:tcPr>
          <w:p w14:paraId="5C43FECD" w14:textId="77777777" w:rsidR="007D5F9E" w:rsidRDefault="007D5F9E" w:rsidP="007D5F9E">
            <w:pPr>
              <w:jc w:val="center"/>
              <w:rPr>
                <w:sz w:val="36"/>
                <w:szCs w:val="36"/>
                <w:highlight w:val="yellow"/>
              </w:rPr>
            </w:pPr>
            <w:r>
              <w:rPr>
                <w:sz w:val="24"/>
                <w:szCs w:val="24"/>
              </w:rPr>
              <w:t>Sector</w:t>
            </w:r>
          </w:p>
        </w:tc>
      </w:tr>
      <w:tr w:rsidR="00524D95" w14:paraId="65354537" w14:textId="77777777" w:rsidTr="00524D95">
        <w:tc>
          <w:tcPr>
            <w:tcW w:w="2529" w:type="dxa"/>
            <w:tcBorders>
              <w:top w:val="single" w:sz="4" w:space="0" w:color="0070C0"/>
              <w:left w:val="single" w:sz="4" w:space="0" w:color="0070C0"/>
              <w:bottom w:val="single" w:sz="4" w:space="0" w:color="0070C0"/>
              <w:right w:val="single" w:sz="4" w:space="0" w:color="0070C0"/>
            </w:tcBorders>
            <w:hideMark/>
          </w:tcPr>
          <w:p w14:paraId="0AB03605" w14:textId="4120848B" w:rsidR="00524D95" w:rsidRDefault="00524D95" w:rsidP="00524D95">
            <w:pPr>
              <w:jc w:val="center"/>
              <w:rPr>
                <w:sz w:val="24"/>
                <w:szCs w:val="24"/>
              </w:rPr>
            </w:pPr>
            <w:r w:rsidRPr="00870D58">
              <w:rPr>
                <w:rFonts w:cs="Arial"/>
              </w:rPr>
              <w:t>Programa especial de armonización para la reintegración y reincorporación social y económica con enfoque diferencial étnico y de género concertado, diseñado e implementado</w:t>
            </w:r>
          </w:p>
        </w:tc>
        <w:tc>
          <w:tcPr>
            <w:tcW w:w="1821" w:type="dxa"/>
            <w:tcBorders>
              <w:top w:val="single" w:sz="4" w:space="0" w:color="0070C0"/>
              <w:left w:val="single" w:sz="4" w:space="0" w:color="0070C0"/>
              <w:bottom w:val="single" w:sz="4" w:space="0" w:color="0070C0"/>
              <w:right w:val="single" w:sz="4" w:space="0" w:color="0070C0"/>
            </w:tcBorders>
            <w:vAlign w:val="center"/>
            <w:hideMark/>
          </w:tcPr>
          <w:p w14:paraId="62A19D57" w14:textId="3E9C393E" w:rsidR="00524D95" w:rsidRDefault="00524D95" w:rsidP="00524D95">
            <w:pPr>
              <w:rPr>
                <w:sz w:val="24"/>
                <w:szCs w:val="24"/>
              </w:rPr>
            </w:pPr>
            <w:r>
              <w:rPr>
                <w:sz w:val="24"/>
                <w:szCs w:val="24"/>
              </w:rPr>
              <w:t>Étnico</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6D1E0E4F" w14:textId="00691AEE" w:rsidR="00524D95" w:rsidRDefault="00524D95" w:rsidP="00524D95">
            <w:pPr>
              <w:jc w:val="center"/>
              <w:rPr>
                <w:sz w:val="24"/>
                <w:szCs w:val="24"/>
              </w:rPr>
            </w:pPr>
            <w:r w:rsidRPr="00870D58">
              <w:t>2018</w:t>
            </w:r>
          </w:p>
        </w:tc>
        <w:tc>
          <w:tcPr>
            <w:tcW w:w="1030" w:type="dxa"/>
            <w:tcBorders>
              <w:top w:val="single" w:sz="4" w:space="0" w:color="0070C0"/>
              <w:left w:val="single" w:sz="4" w:space="0" w:color="0070C0"/>
              <w:bottom w:val="single" w:sz="4" w:space="0" w:color="0070C0"/>
              <w:right w:val="single" w:sz="4" w:space="0" w:color="0070C0"/>
            </w:tcBorders>
            <w:vAlign w:val="center"/>
            <w:hideMark/>
          </w:tcPr>
          <w:p w14:paraId="3517E8A2" w14:textId="7C6183AC" w:rsidR="00524D95" w:rsidRDefault="00524D95" w:rsidP="00524D95">
            <w:pPr>
              <w:jc w:val="center"/>
              <w:rPr>
                <w:sz w:val="24"/>
                <w:szCs w:val="24"/>
              </w:rPr>
            </w:pPr>
            <w:r w:rsidRPr="00870D58">
              <w:t>2026</w:t>
            </w:r>
          </w:p>
        </w:tc>
        <w:tc>
          <w:tcPr>
            <w:tcW w:w="2418" w:type="dxa"/>
            <w:tcBorders>
              <w:top w:val="single" w:sz="4" w:space="0" w:color="0070C0"/>
              <w:left w:val="single" w:sz="4" w:space="0" w:color="0070C0"/>
              <w:bottom w:val="single" w:sz="4" w:space="0" w:color="0070C0"/>
              <w:right w:val="single" w:sz="4" w:space="0" w:color="0070C0"/>
            </w:tcBorders>
            <w:vAlign w:val="center"/>
            <w:hideMark/>
          </w:tcPr>
          <w:p w14:paraId="7144531C" w14:textId="23AB9751" w:rsidR="00524D95" w:rsidRDefault="00524D95" w:rsidP="00524D95">
            <w:pPr>
              <w:jc w:val="center"/>
              <w:rPr>
                <w:sz w:val="24"/>
                <w:szCs w:val="24"/>
              </w:rPr>
            </w:pPr>
            <w:r>
              <w:rPr>
                <w:sz w:val="24"/>
                <w:szCs w:val="24"/>
              </w:rPr>
              <w:t>Presidencia</w:t>
            </w:r>
          </w:p>
        </w:tc>
      </w:tr>
      <w:tr w:rsidR="00524D95" w14:paraId="2858D1B3" w14:textId="77777777" w:rsidTr="00524D95">
        <w:tc>
          <w:tcPr>
            <w:tcW w:w="2529" w:type="dxa"/>
            <w:tcBorders>
              <w:top w:val="single" w:sz="4" w:space="0" w:color="0070C0"/>
              <w:left w:val="single" w:sz="4" w:space="0" w:color="0070C0"/>
              <w:bottom w:val="single" w:sz="4" w:space="0" w:color="0070C0"/>
              <w:right w:val="single" w:sz="4" w:space="0" w:color="0070C0"/>
            </w:tcBorders>
          </w:tcPr>
          <w:p w14:paraId="60F8B661" w14:textId="17899407" w:rsidR="00524D95" w:rsidRDefault="00524D95" w:rsidP="00524D95">
            <w:pPr>
              <w:jc w:val="center"/>
              <w:rPr>
                <w:sz w:val="24"/>
                <w:szCs w:val="24"/>
                <w:highlight w:val="yellow"/>
              </w:rPr>
            </w:pPr>
            <w:r w:rsidRPr="00870D58">
              <w:rPr>
                <w:rFonts w:cs="Arial"/>
              </w:rPr>
              <w:t xml:space="preserve">Mujeres excombatientes pertenecientes a pueblos </w:t>
            </w:r>
            <w:r w:rsidRPr="00870D58">
              <w:rPr>
                <w:rFonts w:cs="Arial"/>
              </w:rPr>
              <w:lastRenderedPageBreak/>
              <w:t>étnicos beneficiarias del programa especial de armonización para la reintegración y la reincorporación</w:t>
            </w:r>
          </w:p>
        </w:tc>
        <w:tc>
          <w:tcPr>
            <w:tcW w:w="1821" w:type="dxa"/>
            <w:tcBorders>
              <w:top w:val="single" w:sz="4" w:space="0" w:color="0070C0"/>
              <w:left w:val="single" w:sz="4" w:space="0" w:color="0070C0"/>
              <w:bottom w:val="single" w:sz="4" w:space="0" w:color="0070C0"/>
              <w:right w:val="single" w:sz="4" w:space="0" w:color="0070C0"/>
            </w:tcBorders>
            <w:vAlign w:val="center"/>
          </w:tcPr>
          <w:p w14:paraId="40799B01" w14:textId="493CD1E6" w:rsidR="00524D95" w:rsidRDefault="00524D95" w:rsidP="00524D95">
            <w:pPr>
              <w:rPr>
                <w:sz w:val="24"/>
                <w:szCs w:val="24"/>
                <w:highlight w:val="yellow"/>
              </w:rPr>
            </w:pPr>
            <w:r>
              <w:rPr>
                <w:sz w:val="24"/>
                <w:szCs w:val="24"/>
              </w:rPr>
              <w:lastRenderedPageBreak/>
              <w:t>Étnico</w:t>
            </w:r>
          </w:p>
        </w:tc>
        <w:tc>
          <w:tcPr>
            <w:tcW w:w="1030" w:type="dxa"/>
            <w:tcBorders>
              <w:top w:val="single" w:sz="4" w:space="0" w:color="0070C0"/>
              <w:left w:val="single" w:sz="4" w:space="0" w:color="0070C0"/>
              <w:bottom w:val="single" w:sz="4" w:space="0" w:color="0070C0"/>
              <w:right w:val="single" w:sz="4" w:space="0" w:color="0070C0"/>
            </w:tcBorders>
            <w:vAlign w:val="center"/>
          </w:tcPr>
          <w:p w14:paraId="143C4132" w14:textId="44056840" w:rsidR="00524D95" w:rsidRDefault="00524D95" w:rsidP="00524D95">
            <w:pPr>
              <w:jc w:val="center"/>
              <w:rPr>
                <w:sz w:val="24"/>
                <w:szCs w:val="24"/>
                <w:highlight w:val="yellow"/>
              </w:rPr>
            </w:pPr>
            <w:r w:rsidRPr="00870D58">
              <w:t>2018</w:t>
            </w:r>
          </w:p>
        </w:tc>
        <w:tc>
          <w:tcPr>
            <w:tcW w:w="1030" w:type="dxa"/>
            <w:tcBorders>
              <w:top w:val="single" w:sz="4" w:space="0" w:color="0070C0"/>
              <w:left w:val="single" w:sz="4" w:space="0" w:color="0070C0"/>
              <w:bottom w:val="single" w:sz="4" w:space="0" w:color="0070C0"/>
              <w:right w:val="single" w:sz="4" w:space="0" w:color="0070C0"/>
            </w:tcBorders>
            <w:vAlign w:val="center"/>
          </w:tcPr>
          <w:p w14:paraId="669DC7BF" w14:textId="1E7D4860" w:rsidR="00524D95" w:rsidRDefault="00524D95" w:rsidP="00524D95">
            <w:pPr>
              <w:jc w:val="center"/>
              <w:rPr>
                <w:sz w:val="24"/>
                <w:szCs w:val="24"/>
                <w:highlight w:val="yellow"/>
              </w:rPr>
            </w:pPr>
            <w:r w:rsidRPr="00870D58">
              <w:t>2019</w:t>
            </w:r>
          </w:p>
        </w:tc>
        <w:tc>
          <w:tcPr>
            <w:tcW w:w="2418" w:type="dxa"/>
            <w:tcBorders>
              <w:top w:val="single" w:sz="4" w:space="0" w:color="0070C0"/>
              <w:left w:val="single" w:sz="4" w:space="0" w:color="0070C0"/>
              <w:bottom w:val="single" w:sz="4" w:space="0" w:color="0070C0"/>
              <w:right w:val="single" w:sz="4" w:space="0" w:color="0070C0"/>
            </w:tcBorders>
            <w:vAlign w:val="center"/>
          </w:tcPr>
          <w:p w14:paraId="4E04C726" w14:textId="7D1971FB" w:rsidR="00524D95" w:rsidRDefault="00524D95" w:rsidP="00524D95">
            <w:pPr>
              <w:jc w:val="center"/>
              <w:rPr>
                <w:sz w:val="24"/>
                <w:szCs w:val="24"/>
                <w:highlight w:val="yellow"/>
              </w:rPr>
            </w:pPr>
            <w:r>
              <w:rPr>
                <w:sz w:val="24"/>
                <w:szCs w:val="24"/>
              </w:rPr>
              <w:t>Presidencia</w:t>
            </w:r>
          </w:p>
        </w:tc>
      </w:tr>
    </w:tbl>
    <w:p w14:paraId="47AD4C7C" w14:textId="77777777" w:rsidR="007D5F9E" w:rsidRDefault="007D5F9E" w:rsidP="007D5F9E">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7386"/>
      </w:tblGrid>
      <w:tr w:rsidR="007D5F9E" w14:paraId="1CFA62B9"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5E5C1466" w14:textId="77777777" w:rsidR="007D5F9E" w:rsidRDefault="007D5F9E" w:rsidP="007D5F9E">
            <w:pPr>
              <w:jc w:val="center"/>
              <w:rPr>
                <w:sz w:val="24"/>
                <w:szCs w:val="24"/>
              </w:rPr>
            </w:pPr>
            <w:r>
              <w:rPr>
                <w:noProof/>
                <w:lang w:eastAsia="es-CO"/>
              </w:rPr>
              <w:drawing>
                <wp:inline distT="0" distB="0" distL="0" distR="0" wp14:anchorId="377B532F" wp14:editId="1133144F">
                  <wp:extent cx="771525" cy="9334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9334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0D8787B7" w14:textId="77777777" w:rsidR="007D5F9E" w:rsidRDefault="007D5F9E" w:rsidP="007D5F9E">
            <w:pPr>
              <w:jc w:val="both"/>
              <w:rPr>
                <w:color w:val="002060"/>
                <w:sz w:val="28"/>
                <w:szCs w:val="28"/>
              </w:rPr>
            </w:pPr>
            <w:r>
              <w:rPr>
                <w:color w:val="002060"/>
                <w:sz w:val="28"/>
                <w:szCs w:val="28"/>
              </w:rPr>
              <w:t>¿Cómo lo hicimos?</w:t>
            </w:r>
          </w:p>
          <w:p w14:paraId="4B35892A" w14:textId="77777777" w:rsidR="00144D4F" w:rsidRDefault="00144D4F" w:rsidP="00524D95">
            <w:pPr>
              <w:jc w:val="both"/>
              <w:rPr>
                <w:rFonts w:cs="Arial"/>
              </w:rPr>
            </w:pPr>
          </w:p>
          <w:p w14:paraId="24CF9E0C" w14:textId="262742AC" w:rsidR="00524D95" w:rsidRDefault="00524D95" w:rsidP="00524D95">
            <w:pPr>
              <w:jc w:val="both"/>
              <w:rPr>
                <w:rFonts w:cs="Arial"/>
              </w:rPr>
            </w:pPr>
            <w:r w:rsidRPr="00B90504">
              <w:rPr>
                <w:rFonts w:cs="Arial"/>
              </w:rPr>
              <w:t>El "</w:t>
            </w:r>
            <w:r w:rsidRPr="00A45B01">
              <w:rPr>
                <w:rFonts w:cs="Arial"/>
                <w:b/>
              </w:rPr>
              <w:t>Programa especial de armonización para la reintegración y reincorporación social y económica con enfoque diferencial étnico y de género"</w:t>
            </w:r>
            <w:r>
              <w:rPr>
                <w:rFonts w:cs="Arial"/>
              </w:rPr>
              <w:t>, se constituye del componente indígena y componente NARP.</w:t>
            </w:r>
          </w:p>
          <w:p w14:paraId="4BEEF079" w14:textId="77777777" w:rsidR="00524D95" w:rsidRDefault="00524D95" w:rsidP="00524D95">
            <w:pPr>
              <w:jc w:val="both"/>
              <w:rPr>
                <w:rFonts w:cs="Arial"/>
              </w:rPr>
            </w:pPr>
          </w:p>
          <w:p w14:paraId="288C420D" w14:textId="77777777" w:rsidR="00524D95" w:rsidRPr="00E05F6E" w:rsidRDefault="00524D95" w:rsidP="00524D95">
            <w:pPr>
              <w:jc w:val="both"/>
              <w:rPr>
                <w:rFonts w:cstheme="minorHAnsi"/>
              </w:rPr>
            </w:pPr>
            <w:r>
              <w:rPr>
                <w:rFonts w:cstheme="minorHAnsi"/>
              </w:rPr>
              <w:t>L</w:t>
            </w:r>
            <w:r w:rsidRPr="00E05F6E">
              <w:rPr>
                <w:rFonts w:cstheme="minorHAnsi"/>
              </w:rPr>
              <w:t>a población potencialmente beneficiaria son las personas auto</w:t>
            </w:r>
            <w:r>
              <w:rPr>
                <w:rFonts w:cstheme="minorHAnsi"/>
              </w:rPr>
              <w:t>r</w:t>
            </w:r>
            <w:r w:rsidRPr="00E05F6E">
              <w:rPr>
                <w:rFonts w:cstheme="minorHAnsi"/>
              </w:rPr>
              <w:t>reconocidas como pertenecientes a un grupo étnico, quiénes se han identificado mediante el Registro Nacional de Reincorporación -RNR-, que inició su aplicación en enero de 2019, y que con corte 31 de agosto de 2021, reporta la siguiente información:</w:t>
            </w:r>
          </w:p>
          <w:p w14:paraId="27CEBC60" w14:textId="77777777" w:rsidR="00524D95" w:rsidRPr="00E05F6E" w:rsidRDefault="00524D95" w:rsidP="00524D95">
            <w:pPr>
              <w:jc w:val="both"/>
              <w:rPr>
                <w:rFonts w:cstheme="minorHAnsi"/>
              </w:rPr>
            </w:pPr>
          </w:p>
          <w:tbl>
            <w:tblPr>
              <w:tblW w:w="8780" w:type="dxa"/>
              <w:tblCellMar>
                <w:left w:w="70" w:type="dxa"/>
                <w:right w:w="70" w:type="dxa"/>
              </w:tblCellMar>
              <w:tblLook w:val="04A0" w:firstRow="1" w:lastRow="0" w:firstColumn="1" w:lastColumn="0" w:noHBand="0" w:noVBand="1"/>
            </w:tblPr>
            <w:tblGrid>
              <w:gridCol w:w="4955"/>
              <w:gridCol w:w="2205"/>
            </w:tblGrid>
            <w:tr w:rsidR="00524D95" w:rsidRPr="00E05F6E" w14:paraId="507D00D6" w14:textId="77777777" w:rsidTr="00715628">
              <w:trPr>
                <w:trHeight w:val="268"/>
                <w:tblHeader/>
              </w:trPr>
              <w:tc>
                <w:tcPr>
                  <w:tcW w:w="608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411D6593" w14:textId="77777777" w:rsidR="00524D95" w:rsidRPr="00E05F6E" w:rsidRDefault="00524D95" w:rsidP="00524D95">
                  <w:pPr>
                    <w:spacing w:after="0" w:line="240" w:lineRule="auto"/>
                    <w:jc w:val="both"/>
                    <w:rPr>
                      <w:rFonts w:eastAsia="Times New Roman" w:cstheme="minorHAnsi"/>
                      <w:b/>
                      <w:bCs/>
                      <w:lang w:eastAsia="es-CO"/>
                    </w:rPr>
                  </w:pPr>
                  <w:r w:rsidRPr="00E05F6E">
                    <w:rPr>
                      <w:rFonts w:eastAsia="Times New Roman" w:cstheme="minorHAnsi"/>
                      <w:b/>
                      <w:bCs/>
                      <w:lang w:eastAsia="es-CO"/>
                    </w:rPr>
                    <w:t>GRUPO ÉTNICO</w:t>
                  </w:r>
                </w:p>
              </w:tc>
              <w:tc>
                <w:tcPr>
                  <w:tcW w:w="269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FCE82CF" w14:textId="77777777" w:rsidR="00524D95" w:rsidRPr="00E05F6E" w:rsidRDefault="00524D95" w:rsidP="00524D95">
                  <w:pPr>
                    <w:spacing w:after="0" w:line="240" w:lineRule="auto"/>
                    <w:jc w:val="both"/>
                    <w:rPr>
                      <w:rFonts w:eastAsia="Times New Roman" w:cstheme="minorHAnsi"/>
                      <w:b/>
                      <w:bCs/>
                      <w:lang w:eastAsia="es-CO"/>
                    </w:rPr>
                  </w:pPr>
                  <w:r w:rsidRPr="00E05F6E">
                    <w:rPr>
                      <w:rFonts w:eastAsia="Times New Roman" w:cstheme="minorHAnsi"/>
                      <w:b/>
                      <w:bCs/>
                      <w:lang w:eastAsia="es-CO"/>
                    </w:rPr>
                    <w:t>Personas</w:t>
                  </w:r>
                </w:p>
              </w:tc>
            </w:tr>
            <w:tr w:rsidR="00524D95" w:rsidRPr="00E05F6E" w14:paraId="1623574E"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695F013"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Indígena</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2127FD0B"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1425</w:t>
                  </w:r>
                </w:p>
              </w:tc>
            </w:tr>
            <w:tr w:rsidR="00524D95" w:rsidRPr="00E05F6E" w14:paraId="5B662855"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D909AD" w14:textId="77777777" w:rsidR="00524D95" w:rsidRPr="00E05F6E" w:rsidRDefault="00524D95" w:rsidP="00524D95">
                  <w:pPr>
                    <w:spacing w:after="0" w:line="240" w:lineRule="auto"/>
                    <w:jc w:val="both"/>
                    <w:rPr>
                      <w:rFonts w:eastAsia="Times New Roman" w:cstheme="minorHAnsi"/>
                      <w:lang w:eastAsia="es-CO"/>
                    </w:rPr>
                  </w:pPr>
                  <w:r w:rsidRPr="00E05F6E">
                    <w:rPr>
                      <w:rFonts w:cstheme="minorHAnsi"/>
                      <w:color w:val="000000"/>
                      <w:lang w:eastAsia="es-CO"/>
                    </w:rPr>
                    <w:t>Negro(a), mulato(a), afrocolombiano(a) o afrodescendiente</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7555107B"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665</w:t>
                  </w:r>
                </w:p>
              </w:tc>
            </w:tr>
            <w:tr w:rsidR="00524D95" w:rsidRPr="00E05F6E" w14:paraId="753954EE"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79262336" w14:textId="77777777" w:rsidR="00524D95" w:rsidRPr="00E05F6E" w:rsidRDefault="00524D95" w:rsidP="00524D95">
                  <w:pPr>
                    <w:spacing w:after="0" w:line="240" w:lineRule="auto"/>
                    <w:ind w:left="-180"/>
                    <w:jc w:val="both"/>
                    <w:rPr>
                      <w:rFonts w:eastAsia="Times New Roman" w:cstheme="minorHAnsi"/>
                      <w:lang w:eastAsia="es-CO"/>
                    </w:rPr>
                  </w:pPr>
                  <w:r w:rsidRPr="00E05F6E">
                    <w:rPr>
                      <w:rFonts w:eastAsia="Times New Roman" w:cstheme="minorHAnsi"/>
                      <w:lang w:eastAsia="es-CO"/>
                    </w:rPr>
                    <w:t>No responde</w:t>
                  </w:r>
                  <w:r w:rsidRPr="00E05F6E">
                    <w:rPr>
                      <w:rStyle w:val="Refdenotaalpie"/>
                      <w:rFonts w:eastAsia="Times New Roman" w:cstheme="minorHAnsi"/>
                      <w:lang w:eastAsia="es-CO"/>
                    </w:rPr>
                    <w:footnoteReference w:id="6"/>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4721C2C2" w14:textId="77777777" w:rsidR="00524D95" w:rsidRPr="00E05F6E" w:rsidRDefault="00524D95" w:rsidP="00524D95">
                  <w:pPr>
                    <w:spacing w:after="0" w:line="240" w:lineRule="auto"/>
                    <w:jc w:val="both"/>
                    <w:rPr>
                      <w:rFonts w:eastAsia="Times New Roman" w:cstheme="minorHAnsi"/>
                      <w:lang w:eastAsia="es-CO"/>
                    </w:rPr>
                  </w:pPr>
                  <w:r>
                    <w:rPr>
                      <w:rFonts w:eastAsia="Times New Roman" w:cstheme="minorHAnsi"/>
                      <w:lang w:eastAsia="es-CO"/>
                    </w:rPr>
                    <w:t>0</w:t>
                  </w:r>
                </w:p>
              </w:tc>
            </w:tr>
            <w:tr w:rsidR="00524D95" w:rsidRPr="00E05F6E" w14:paraId="1BDB93E2"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37C211A"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Palenquero de San Basilio o Descendiente</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3C0EB8FD"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14</w:t>
                  </w:r>
                </w:p>
              </w:tc>
            </w:tr>
            <w:tr w:rsidR="00524D95" w:rsidRPr="00E05F6E" w14:paraId="7818610E"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1C51400" w14:textId="77777777" w:rsidR="00524D95" w:rsidRPr="00E05F6E" w:rsidRDefault="00524D95" w:rsidP="00524D95">
                  <w:pPr>
                    <w:spacing w:after="0" w:line="240" w:lineRule="auto"/>
                    <w:jc w:val="both"/>
                    <w:rPr>
                      <w:rFonts w:eastAsia="Times New Roman" w:cstheme="minorHAnsi"/>
                      <w:lang w:eastAsia="es-CO"/>
                    </w:rPr>
                  </w:pPr>
                  <w:r w:rsidRPr="00E05F6E">
                    <w:rPr>
                      <w:rFonts w:cstheme="minorHAnsi"/>
                      <w:color w:val="000000"/>
                      <w:lang w:eastAsia="es-CO"/>
                    </w:rPr>
                    <w:t>Gitano o Rrom</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109D281B" w14:textId="77777777" w:rsidR="00524D95" w:rsidRPr="00E05F6E" w:rsidRDefault="00524D95" w:rsidP="00524D95">
                  <w:pPr>
                    <w:spacing w:after="0" w:line="240" w:lineRule="auto"/>
                    <w:jc w:val="both"/>
                    <w:rPr>
                      <w:rFonts w:eastAsia="Times New Roman" w:cstheme="minorHAnsi"/>
                      <w:lang w:eastAsia="es-CO"/>
                    </w:rPr>
                  </w:pPr>
                  <w:r>
                    <w:rPr>
                      <w:rFonts w:eastAsia="Times New Roman" w:cstheme="minorHAnsi"/>
                      <w:lang w:eastAsia="es-CO"/>
                    </w:rPr>
                    <w:t>0</w:t>
                  </w:r>
                </w:p>
              </w:tc>
            </w:tr>
            <w:tr w:rsidR="00524D95" w:rsidRPr="00E05F6E" w14:paraId="42142D85"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5A5060B4" w14:textId="77777777" w:rsidR="00524D95" w:rsidRPr="00E05F6E" w:rsidRDefault="00524D95" w:rsidP="00524D95">
                  <w:pPr>
                    <w:spacing w:after="0" w:line="240" w:lineRule="auto"/>
                    <w:jc w:val="both"/>
                    <w:rPr>
                      <w:rFonts w:eastAsia="Times New Roman" w:cstheme="minorHAnsi"/>
                      <w:lang w:eastAsia="es-CO"/>
                    </w:rPr>
                  </w:pPr>
                  <w:r w:rsidRPr="00E05F6E">
                    <w:rPr>
                      <w:rFonts w:cstheme="minorHAnsi"/>
                      <w:color w:val="000000"/>
                      <w:lang w:eastAsia="es-CO"/>
                    </w:rPr>
                    <w:t>Raizal del Archipiélago de San Andrés, Providencia y Santa Catalina</w:t>
                  </w:r>
                </w:p>
              </w:tc>
              <w:tc>
                <w:tcPr>
                  <w:tcW w:w="2691" w:type="dxa"/>
                  <w:tcBorders>
                    <w:top w:val="nil"/>
                    <w:left w:val="nil"/>
                    <w:bottom w:val="single" w:sz="4" w:space="0" w:color="auto"/>
                    <w:right w:val="single" w:sz="4" w:space="0" w:color="auto"/>
                  </w:tcBorders>
                  <w:shd w:val="clear" w:color="auto" w:fill="F2F2F2" w:themeFill="background1" w:themeFillShade="F2"/>
                  <w:vAlign w:val="bottom"/>
                </w:tcPr>
                <w:p w14:paraId="589AB4BA" w14:textId="77777777" w:rsidR="00524D95" w:rsidRPr="00E05F6E" w:rsidRDefault="00524D95" w:rsidP="00524D95">
                  <w:pPr>
                    <w:spacing w:after="0" w:line="240" w:lineRule="auto"/>
                    <w:jc w:val="both"/>
                    <w:rPr>
                      <w:rFonts w:eastAsia="Times New Roman" w:cstheme="minorHAnsi"/>
                      <w:lang w:eastAsia="es-CO"/>
                    </w:rPr>
                  </w:pPr>
                  <w:r w:rsidRPr="00E05F6E">
                    <w:rPr>
                      <w:rFonts w:eastAsia="Times New Roman" w:cstheme="minorHAnsi"/>
                      <w:lang w:eastAsia="es-CO"/>
                    </w:rPr>
                    <w:t>1</w:t>
                  </w:r>
                </w:p>
              </w:tc>
            </w:tr>
            <w:tr w:rsidR="00524D95" w:rsidRPr="00E05F6E" w14:paraId="462E323F" w14:textId="77777777" w:rsidTr="00715628">
              <w:trPr>
                <w:trHeight w:val="268"/>
              </w:trPr>
              <w:tc>
                <w:tcPr>
                  <w:tcW w:w="6089"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1B231B04" w14:textId="77777777" w:rsidR="00524D95" w:rsidRPr="00E05F6E" w:rsidRDefault="00524D95" w:rsidP="00524D95">
                  <w:pPr>
                    <w:spacing w:after="0" w:line="240" w:lineRule="auto"/>
                    <w:jc w:val="both"/>
                    <w:rPr>
                      <w:rFonts w:eastAsia="Times New Roman" w:cstheme="minorHAnsi"/>
                      <w:b/>
                      <w:lang w:eastAsia="es-CO"/>
                    </w:rPr>
                  </w:pPr>
                  <w:r w:rsidRPr="00E05F6E">
                    <w:rPr>
                      <w:rFonts w:eastAsia="Times New Roman" w:cstheme="minorHAnsi"/>
                      <w:b/>
                      <w:lang w:eastAsia="es-CO"/>
                    </w:rPr>
                    <w:t xml:space="preserve">TOTAL </w:t>
                  </w:r>
                </w:p>
              </w:tc>
              <w:tc>
                <w:tcPr>
                  <w:tcW w:w="2691" w:type="dxa"/>
                  <w:tcBorders>
                    <w:top w:val="nil"/>
                    <w:left w:val="nil"/>
                    <w:bottom w:val="single" w:sz="4" w:space="0" w:color="auto"/>
                    <w:right w:val="single" w:sz="4" w:space="0" w:color="auto"/>
                  </w:tcBorders>
                  <w:shd w:val="clear" w:color="auto" w:fill="8EAADB" w:themeFill="accent1" w:themeFillTint="99"/>
                  <w:noWrap/>
                  <w:vAlign w:val="bottom"/>
                  <w:hideMark/>
                </w:tcPr>
                <w:p w14:paraId="2CD017CF" w14:textId="77777777" w:rsidR="00524D95" w:rsidRPr="00E05F6E" w:rsidRDefault="00524D95" w:rsidP="00524D95">
                  <w:pPr>
                    <w:spacing w:after="0" w:line="240" w:lineRule="auto"/>
                    <w:jc w:val="both"/>
                    <w:rPr>
                      <w:rFonts w:eastAsia="Times New Roman" w:cstheme="minorHAnsi"/>
                      <w:b/>
                      <w:lang w:eastAsia="es-CO"/>
                    </w:rPr>
                  </w:pPr>
                  <w:r>
                    <w:rPr>
                      <w:rFonts w:eastAsia="Times New Roman" w:cstheme="minorHAnsi"/>
                      <w:b/>
                      <w:lang w:eastAsia="es-CO"/>
                    </w:rPr>
                    <w:t>2.105</w:t>
                  </w:r>
                </w:p>
              </w:tc>
            </w:tr>
          </w:tbl>
          <w:p w14:paraId="754A70C0" w14:textId="77777777" w:rsidR="00524D95" w:rsidRPr="008D2944" w:rsidRDefault="00524D95" w:rsidP="00524D95">
            <w:pPr>
              <w:jc w:val="center"/>
              <w:rPr>
                <w:rFonts w:cstheme="minorHAnsi"/>
                <w:sz w:val="16"/>
                <w:szCs w:val="16"/>
              </w:rPr>
            </w:pPr>
            <w:r w:rsidRPr="008D2944">
              <w:rPr>
                <w:rFonts w:cstheme="minorHAnsi"/>
                <w:i/>
                <w:sz w:val="16"/>
                <w:szCs w:val="16"/>
              </w:rPr>
              <w:t xml:space="preserve">Fuente:   </w:t>
            </w:r>
            <w:r w:rsidRPr="008D2944">
              <w:rPr>
                <w:rFonts w:cstheme="minorHAnsi"/>
                <w:sz w:val="16"/>
                <w:szCs w:val="16"/>
              </w:rPr>
              <w:t>Registro Nacional de Reincorporación -RNR, corte 31 de agosto de 2021</w:t>
            </w:r>
          </w:p>
          <w:p w14:paraId="43D47C19" w14:textId="77777777" w:rsidR="00524D95" w:rsidRDefault="00524D95" w:rsidP="00524D95">
            <w:pPr>
              <w:jc w:val="both"/>
              <w:rPr>
                <w:rFonts w:cs="Arial"/>
              </w:rPr>
            </w:pPr>
          </w:p>
          <w:p w14:paraId="0A57185C" w14:textId="5FDBF170" w:rsidR="00524D95" w:rsidRPr="001C6DC9" w:rsidRDefault="00524D95" w:rsidP="00524D95">
            <w:pPr>
              <w:jc w:val="both"/>
              <w:rPr>
                <w:rFonts w:cstheme="minorHAnsi"/>
              </w:rPr>
            </w:pPr>
            <w:r w:rsidRPr="00B90504">
              <w:rPr>
                <w:rFonts w:cstheme="minorHAnsi"/>
                <w:b/>
                <w:bCs/>
              </w:rPr>
              <w:t xml:space="preserve">Componente indígena: </w:t>
            </w:r>
            <w:r w:rsidRPr="001C6DC9">
              <w:rPr>
                <w:rFonts w:cstheme="minorHAnsi"/>
              </w:rPr>
              <w:t xml:space="preserve">En la vigencia 2021, para dar desarrollo a la segunda fase de ruta metodológica concertada, la ARN realizó acercamientos con la secretaria técnica indígena de la Comisión de Derechos Humanos de los Pueblos Indígenas y las Organizaciones Indígenas del nivel nacional que conforman esta instancia, lo que permitió la suscripción de dos convenios el 15 de julio, uno con la organización indígena OPIAC (1521-2021) y otro con la Organización de Autoridades Tradicionales de Colombia - Gobierno Mayor (1522-2021). </w:t>
            </w:r>
          </w:p>
          <w:p w14:paraId="4A4E43E2" w14:textId="77777777" w:rsidR="00524D95" w:rsidRPr="001C6DC9" w:rsidRDefault="00524D95" w:rsidP="00524D95">
            <w:pPr>
              <w:jc w:val="both"/>
              <w:rPr>
                <w:rFonts w:cstheme="minorHAnsi"/>
              </w:rPr>
            </w:pPr>
          </w:p>
          <w:p w14:paraId="378F135D" w14:textId="77777777" w:rsidR="00524D95" w:rsidRPr="001C6DC9" w:rsidRDefault="00524D95" w:rsidP="00524D95">
            <w:pPr>
              <w:jc w:val="both"/>
              <w:rPr>
                <w:rFonts w:cstheme="minorHAnsi"/>
              </w:rPr>
            </w:pPr>
            <w:r w:rsidRPr="001C6DC9">
              <w:rPr>
                <w:rFonts w:cstheme="minorHAnsi"/>
              </w:rPr>
              <w:t>Para llevar a cabo dicha implementación se realizó una reunión con el secretario técnico de la Comisión de Derechos Humanos de los Pueblos Indígenas y personas delegadas de las 6 organizaciones indígenas que conforman la comisión para definir cronograma y organizaciones a contratar para el desarrollo de la segunda fase de la ruta metodológica concertada.</w:t>
            </w:r>
          </w:p>
          <w:p w14:paraId="06E69D99" w14:textId="77777777" w:rsidR="00524D95" w:rsidRPr="001C6DC9" w:rsidRDefault="00524D95" w:rsidP="00524D95">
            <w:pPr>
              <w:jc w:val="both"/>
              <w:rPr>
                <w:rFonts w:cstheme="minorHAnsi"/>
              </w:rPr>
            </w:pPr>
          </w:p>
          <w:p w14:paraId="58389CA5" w14:textId="77777777" w:rsidR="00524D95" w:rsidRPr="001C6DC9" w:rsidRDefault="00524D95" w:rsidP="00524D95">
            <w:pPr>
              <w:jc w:val="both"/>
              <w:rPr>
                <w:rFonts w:cstheme="minorHAnsi"/>
              </w:rPr>
            </w:pPr>
            <w:r w:rsidRPr="001C6DC9">
              <w:rPr>
                <w:rFonts w:cstheme="minorHAnsi"/>
              </w:rPr>
              <w:lastRenderedPageBreak/>
              <w:t>Se realizó una mesa de trabajo con los comisionados indígenas de las 5 organizaciones que conforman la Comisión de Derechos Humanos de los Pueblos Indígenas y el director programático de la ARN, con el fin de definir la territorialización y participación de la población indígena en proceso de reintegración y reincorporación para adelantar el proceso de consulta previa en territorio.</w:t>
            </w:r>
          </w:p>
          <w:p w14:paraId="0EDE4A46" w14:textId="77777777" w:rsidR="00524D95" w:rsidRPr="001C6DC9" w:rsidRDefault="00524D95" w:rsidP="00524D95">
            <w:pPr>
              <w:jc w:val="both"/>
              <w:rPr>
                <w:rFonts w:cstheme="minorHAnsi"/>
              </w:rPr>
            </w:pPr>
            <w:r w:rsidRPr="001C6DC9">
              <w:rPr>
                <w:rFonts w:cstheme="minorHAnsi"/>
              </w:rPr>
              <w:br/>
              <w:t>En este sentido, en cumplimiento de lo establecido en los convenios, el 2 de septiembre, se dio inicio al proceso de socialización y retroalimentación en territorio de la propuesta de Programa Especial de Armonización para la Reintegración y Reincorporación Social y Económica con Enfoque Diferencial Étnico y de Género-Componente Indígena y su instrumento normativo. Para ello, se desarrollaron un total de 20 encuentros: Dos en el departamento de Cundinamarca (Chinauta y Bogotá), uno en Cesar (Valledupar), dos en  Meta (Mesetas y Uribe), cinco en el departamento del Cauca (La Vega, Santander de Quilichao, Popayán, Inzá y Caldono), uno en Caquetá, (La Montañita), dos en Nariño (Cumbal e Ipiales), uno en Chocó (Quibdó), uno en Antioquia (Dabeiba), uno en Tolima (Chaparral), uno en Guaviare (San José del Guaviare), uno en Valle del Cauca (Florida), uno en La Guajira (Fonseca) y uno en Putumayo (Villa Garzón).  Encuentros que contaron con la participación de personas en proceso de reintegración y reincorporación, así como con autoridades, líderes y comunidades indígenas.</w:t>
            </w:r>
          </w:p>
          <w:p w14:paraId="00D41B3A" w14:textId="77777777" w:rsidR="00524D95" w:rsidRPr="001C6DC9" w:rsidRDefault="00524D95" w:rsidP="00524D95">
            <w:pPr>
              <w:pStyle w:val="Prrafodelista"/>
              <w:jc w:val="both"/>
              <w:rPr>
                <w:rFonts w:cstheme="minorHAnsi"/>
              </w:rPr>
            </w:pPr>
          </w:p>
          <w:p w14:paraId="64253199" w14:textId="77777777" w:rsidR="00524D95" w:rsidRPr="001C6DC9" w:rsidRDefault="00524D95" w:rsidP="00524D95">
            <w:pPr>
              <w:jc w:val="both"/>
              <w:rPr>
                <w:rFonts w:cstheme="minorHAnsi"/>
              </w:rPr>
            </w:pPr>
            <w:r w:rsidRPr="001C6DC9">
              <w:rPr>
                <w:rFonts w:cstheme="minorHAnsi"/>
              </w:rPr>
              <w:t xml:space="preserve">Fruto de este proceso, se sistematizó y consolidó la información recolectada en los encuentros territoriales, lo cual permitió la consolidación del documento propuesta del Programa Especial de Armonización por parte de las Organizaciones Indígenas que será el insumo principal para la concertación en una sesión de la Mesa Permanente de Concertación a realizarse en el primer semestre de 2022. </w:t>
            </w:r>
          </w:p>
          <w:p w14:paraId="01EC96E6" w14:textId="77777777" w:rsidR="00524D95" w:rsidRPr="001C6DC9" w:rsidRDefault="00524D95" w:rsidP="00524D95">
            <w:pPr>
              <w:pStyle w:val="Prrafodelista"/>
              <w:jc w:val="both"/>
              <w:rPr>
                <w:rFonts w:cstheme="minorHAnsi"/>
              </w:rPr>
            </w:pPr>
          </w:p>
          <w:p w14:paraId="6C65AC1A" w14:textId="77777777" w:rsidR="00524D95" w:rsidRPr="001C6DC9" w:rsidRDefault="00524D95" w:rsidP="00524D95">
            <w:pPr>
              <w:jc w:val="both"/>
              <w:rPr>
                <w:rFonts w:cstheme="minorHAnsi"/>
              </w:rPr>
            </w:pPr>
            <w:r w:rsidRPr="001C6DC9">
              <w:rPr>
                <w:rFonts w:cstheme="minorHAnsi"/>
              </w:rPr>
              <w:t>Es de anotar que, el programa Especial de Armonización en su componente indígena y de comunidades negras, afrocolombianas raizales y palenqueras, debe ser producto de formulación  conjunta con los grupos étnicos y posteriormente someterse a consulta previa en territorio, para concertarse y protocolizarse con las respectivas instancias consultivas del nivel nacional, a saber: la Mesa Permanente de Concertación de Pueblos Indígenas (MPC) y el Espacio Nacional de Consulta Previa (ENCP) de comunidades negras, afrocolombianas, raizales y palenqueras.</w:t>
            </w:r>
          </w:p>
          <w:p w14:paraId="13884448" w14:textId="77777777" w:rsidR="00524D95" w:rsidRPr="00911F64" w:rsidRDefault="00524D95" w:rsidP="00524D95">
            <w:pPr>
              <w:jc w:val="both"/>
              <w:rPr>
                <w:rFonts w:cstheme="minorHAnsi"/>
                <w:sz w:val="18"/>
                <w:szCs w:val="18"/>
              </w:rPr>
            </w:pPr>
          </w:p>
          <w:p w14:paraId="398900CB" w14:textId="0F40EE46" w:rsidR="00524D95" w:rsidRPr="008D2944" w:rsidRDefault="00524D95" w:rsidP="00144D4F">
            <w:pPr>
              <w:pBdr>
                <w:top w:val="nil"/>
                <w:left w:val="nil"/>
                <w:bottom w:val="nil"/>
                <w:right w:val="nil"/>
                <w:between w:val="nil"/>
              </w:pBdr>
              <w:jc w:val="both"/>
              <w:rPr>
                <w:rFonts w:cs="Arial"/>
              </w:rPr>
            </w:pPr>
            <w:r w:rsidRPr="00B90504">
              <w:rPr>
                <w:rFonts w:cs="Arial"/>
                <w:b/>
              </w:rPr>
              <w:t>Componente de Comunidades Negras, Afrocolombianas, Raizales y Palenqueras</w:t>
            </w:r>
            <w:r>
              <w:rPr>
                <w:rFonts w:cs="Arial"/>
                <w:b/>
              </w:rPr>
              <w:t>-NARP</w:t>
            </w:r>
            <w:r w:rsidR="00144D4F">
              <w:rPr>
                <w:rFonts w:cs="Arial"/>
                <w:b/>
              </w:rPr>
              <w:t xml:space="preserve">: </w:t>
            </w:r>
            <w:r w:rsidRPr="008D2944">
              <w:rPr>
                <w:rFonts w:cs="Arial"/>
              </w:rPr>
              <w:t xml:space="preserve">En la vigencia 2021 se firmó el convenio 1519-2021 con la Organización Internacional para las Migraciones (OIM) cuyo objeto fue “Aunar esfuerzos para adelantar acciones en la etapa de preconsulta, en el marco de la consulta previa del Programa Especial de Armonización para la reintegración y reincorporación social y económica, con enfoque étnico y de género y su Instrumento Normativo para comunidades negras afrocolombianas, raizales y palenqueras, con el Espacio Nacional de Consulta Previa (ENCP)”.  En este sentido, se realizaron las gestiones respectivas ante la Dirección de Comunidades </w:t>
            </w:r>
            <w:r w:rsidRPr="008D2944">
              <w:rPr>
                <w:rFonts w:cs="Arial"/>
              </w:rPr>
              <w:lastRenderedPageBreak/>
              <w:t xml:space="preserve">Negras, Afrocolombianas, Raizales y Palenqueras del Ministerio del Interior, para la convocatoria del ENCP en el último trimestre del año e iniciar con la fase de preconsulta del Programa. Ante solicitud de la Comisión Consultiva de Alto Nivel (CCAN) de realizar un proceso recomendaciones al programa de acuerdo con lo dispuesto en el Decreto 1640 de 2020, se aplazó para la vigencia 2022 el proceso con el ENCP, hasta realizar la incorporación de recomendaciones por parte de la CCAN. </w:t>
            </w:r>
          </w:p>
          <w:p w14:paraId="57F036D3" w14:textId="77777777" w:rsidR="00524D95" w:rsidRPr="008D2944" w:rsidRDefault="00524D95" w:rsidP="00524D95">
            <w:pPr>
              <w:jc w:val="both"/>
              <w:rPr>
                <w:rFonts w:cs="Arial"/>
              </w:rPr>
            </w:pPr>
          </w:p>
          <w:p w14:paraId="357416A4" w14:textId="77777777" w:rsidR="00524D95" w:rsidRPr="008D2944" w:rsidRDefault="00524D95" w:rsidP="00524D95">
            <w:pPr>
              <w:jc w:val="both"/>
              <w:rPr>
                <w:rFonts w:cs="Arial"/>
              </w:rPr>
            </w:pPr>
            <w:r w:rsidRPr="008D2944">
              <w:rPr>
                <w:rFonts w:cs="Arial"/>
              </w:rPr>
              <w:t xml:space="preserve">De manera paralela, y en el marco del convenio entre ARN y OIM, se realizó un proceso de ajuste técnico de la propuesta de programa, lo cual implicó sesiones de trabajo con las distintas dependencias de la entidad para socializar el alcance de la propuesta de Programa y ajustar los aspectos que trascienden la misionalidad de la entidad. Las versiones ajustadas del documento propuesta del Programa Especial de Armonización y su instrumento normativo fueron radicadas ante el Ministerio del Interior como insumo necesario para la convocatoria del ENCP. </w:t>
            </w:r>
          </w:p>
          <w:p w14:paraId="41957130" w14:textId="77777777" w:rsidR="00524D95" w:rsidRPr="008D2944" w:rsidRDefault="00524D95" w:rsidP="00524D95">
            <w:pPr>
              <w:jc w:val="both"/>
              <w:rPr>
                <w:rFonts w:cs="Arial"/>
              </w:rPr>
            </w:pPr>
          </w:p>
          <w:p w14:paraId="1D240F96" w14:textId="77777777" w:rsidR="00524D95" w:rsidRPr="008D2944" w:rsidRDefault="00524D95" w:rsidP="00524D95">
            <w:pPr>
              <w:jc w:val="both"/>
              <w:rPr>
                <w:rFonts w:cs="Arial"/>
              </w:rPr>
            </w:pPr>
            <w:r w:rsidRPr="008D2944">
              <w:rPr>
                <w:rFonts w:cs="Arial"/>
              </w:rPr>
              <w:t>Adicionalmente, la entidad cuenta con una propuesta de ruta metodológica para la consulta previa del Programa especial de armonización “Mauyauma” y el instrumento normativo ajustados de acuerdo con sus alcances y competencias institucionales, que se orienta a avanzar en el proceso de consulta previa.</w:t>
            </w:r>
          </w:p>
          <w:p w14:paraId="0B76BC78" w14:textId="77777777" w:rsidR="00524D95" w:rsidRPr="008D2944" w:rsidRDefault="00524D95" w:rsidP="00524D95">
            <w:pPr>
              <w:jc w:val="both"/>
              <w:rPr>
                <w:rFonts w:cs="Arial"/>
              </w:rPr>
            </w:pPr>
          </w:p>
          <w:p w14:paraId="4E496D0F" w14:textId="77777777" w:rsidR="007D5F9E" w:rsidRDefault="00524D95" w:rsidP="00524D95">
            <w:pPr>
              <w:jc w:val="both"/>
              <w:rPr>
                <w:rFonts w:cs="Arial"/>
              </w:rPr>
            </w:pPr>
            <w:r w:rsidRPr="008D2944">
              <w:rPr>
                <w:rFonts w:cs="Arial"/>
              </w:rPr>
              <w:t>De otra parte, cabe resaltar que desde la ARN se han venido implementando acciones con enfoque étnico para la población negra, afrocolombiana, raizal y palenquera en reintegración y reincorporación, como es el caso de la estrategia implementada entre los meses de agosto y noviembre en las ciudades de Cali, Buenaventura, Cartagena, en los municipios de Guapi, Tumaco, San Basilio de Palenque y en el antiguos ETCR Brisas, Caracolí – Urabá, como territorios focalizados, donde se desarrollaron eventos comunitarios y participativos con personas en proceso de reintegración y reincorporación con el fin de “Fortalecer capacidades y conocimientos en torno a la reincorporación y reintegración étnica para las personas pertenecientes a las comunidades negras, afrocolombianas, raizales y palenqueras”, cumpliendo los objetivos específicos de la estrategia que se orientaron a: Contribuir al fortalecimiento de la identidad afrocolombiana y las relaciones comunitarias, desde el reconocimiento étnico; potenciar los procesos de reintegración y reincorporación en los territorios focalizados; fortalecer la práctica y atención profesional de los grupos territoriales a la población afrocolombiana en reintegración y reincorporación, desde un enfoque étnico; fortalecer los lazos comunitarios y sociales, desde la participación e interacción entre personas de reintegración y reincorporación, y líderes afrocolombianos; socializar los avances que se han tenido en la formulación y consulta del Programa Especial de Armonización para el Pueblo negro, afrocolombiano, raizal y palenquero.</w:t>
            </w:r>
          </w:p>
          <w:p w14:paraId="2CFC5778" w14:textId="77777777" w:rsidR="00A45B01" w:rsidRDefault="00A45B01" w:rsidP="00524D95">
            <w:pPr>
              <w:jc w:val="both"/>
              <w:rPr>
                <w:sz w:val="24"/>
                <w:szCs w:val="24"/>
              </w:rPr>
            </w:pPr>
          </w:p>
          <w:p w14:paraId="5E91DDE4" w14:textId="26DC41F3" w:rsidR="00A45B01" w:rsidRDefault="00A45B01" w:rsidP="00524D95">
            <w:pPr>
              <w:jc w:val="both"/>
              <w:rPr>
                <w:sz w:val="24"/>
                <w:szCs w:val="24"/>
              </w:rPr>
            </w:pPr>
            <w:r>
              <w:rPr>
                <w:sz w:val="24"/>
                <w:szCs w:val="24"/>
              </w:rPr>
              <w:t xml:space="preserve">Para el indicador </w:t>
            </w:r>
            <w:r w:rsidRPr="00A45B01">
              <w:rPr>
                <w:b/>
                <w:sz w:val="24"/>
                <w:szCs w:val="24"/>
              </w:rPr>
              <w:t>“</w:t>
            </w:r>
            <w:r w:rsidRPr="00A45B01">
              <w:rPr>
                <w:rFonts w:cs="Arial"/>
                <w:b/>
              </w:rPr>
              <w:t>Mujeres excombatientes pertenecientes a pueblos étnicos beneficiarias del programa especial de armonización para la reintegración y la reincorporación”</w:t>
            </w:r>
            <w:r>
              <w:rPr>
                <w:rFonts w:cs="Arial"/>
                <w:b/>
              </w:rPr>
              <w:t>,</w:t>
            </w:r>
            <w:r w:rsidRPr="00A45B01">
              <w:rPr>
                <w:rFonts w:cs="Arial"/>
                <w:b/>
              </w:rPr>
              <w:t xml:space="preserve"> </w:t>
            </w:r>
            <w:r w:rsidR="002948D1" w:rsidRPr="002948D1">
              <w:rPr>
                <w:rFonts w:cs="Arial"/>
              </w:rPr>
              <w:t>se</w:t>
            </w:r>
            <w:r w:rsidR="002948D1">
              <w:rPr>
                <w:rFonts w:cs="Arial"/>
                <w:b/>
              </w:rPr>
              <w:t xml:space="preserve"> </w:t>
            </w:r>
            <w:r w:rsidR="002948D1" w:rsidRPr="002948D1">
              <w:rPr>
                <w:rFonts w:cs="Arial"/>
              </w:rPr>
              <w:t>tendr</w:t>
            </w:r>
            <w:r w:rsidRPr="00A45B01">
              <w:rPr>
                <w:rFonts w:cs="Arial"/>
              </w:rPr>
              <w:t xml:space="preserve">á </w:t>
            </w:r>
            <w:r w:rsidR="002948D1">
              <w:rPr>
                <w:rFonts w:cs="Arial"/>
              </w:rPr>
              <w:t>reporte</w:t>
            </w:r>
            <w:r w:rsidRPr="00A45B01">
              <w:rPr>
                <w:rFonts w:cs="Arial"/>
              </w:rPr>
              <w:t xml:space="preserve"> una vez se adopte el “Programa Especial de </w:t>
            </w:r>
            <w:r w:rsidRPr="00A45B01">
              <w:rPr>
                <w:rFonts w:cs="Arial"/>
              </w:rPr>
              <w:lastRenderedPageBreak/>
              <w:t xml:space="preserve">Armonización para la Reintegración y la Reincorporación Económica y Social con Enfoque Diferencial Étnico y de Género”. </w:t>
            </w:r>
          </w:p>
        </w:tc>
      </w:tr>
      <w:tr w:rsidR="007D5F9E" w14:paraId="40CE45E8"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4CAA2674" w14:textId="77777777" w:rsidR="007D5F9E" w:rsidRDefault="007D5F9E" w:rsidP="007D5F9E">
            <w:pPr>
              <w:jc w:val="center"/>
              <w:rPr>
                <w:sz w:val="24"/>
                <w:szCs w:val="24"/>
              </w:rPr>
            </w:pPr>
            <w:r>
              <w:rPr>
                <w:noProof/>
                <w:lang w:eastAsia="es-CO"/>
              </w:rPr>
              <w:lastRenderedPageBreak/>
              <w:drawing>
                <wp:inline distT="0" distB="0" distL="0" distR="0" wp14:anchorId="6F9ED331" wp14:editId="3B18FD5B">
                  <wp:extent cx="923925" cy="8001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3692026A" w14:textId="77777777" w:rsidR="007D5F9E" w:rsidRDefault="007D5F9E" w:rsidP="007D5F9E">
            <w:pPr>
              <w:jc w:val="both"/>
              <w:rPr>
                <w:color w:val="002060"/>
                <w:sz w:val="28"/>
                <w:szCs w:val="28"/>
              </w:rPr>
            </w:pPr>
            <w:r>
              <w:rPr>
                <w:color w:val="002060"/>
                <w:sz w:val="28"/>
                <w:szCs w:val="28"/>
              </w:rPr>
              <w:t>¿Quiénes se beneficiaron?</w:t>
            </w:r>
          </w:p>
          <w:p w14:paraId="5F6FC3D2" w14:textId="77777777" w:rsidR="00144D4F" w:rsidRDefault="00144D4F" w:rsidP="00524D95">
            <w:pPr>
              <w:jc w:val="both"/>
              <w:rPr>
                <w:rFonts w:cstheme="minorHAnsi"/>
                <w:bCs/>
              </w:rPr>
            </w:pPr>
          </w:p>
          <w:p w14:paraId="30AB905E" w14:textId="4901A6FB" w:rsidR="007D5F9E" w:rsidRDefault="00524D95" w:rsidP="00524D95">
            <w:pPr>
              <w:jc w:val="both"/>
              <w:rPr>
                <w:sz w:val="24"/>
                <w:szCs w:val="24"/>
              </w:rPr>
            </w:pPr>
            <w:r w:rsidRPr="00681113">
              <w:rPr>
                <w:rFonts w:cstheme="minorHAnsi"/>
                <w:bCs/>
              </w:rPr>
              <w:t>El programa Especial de Armonización para la Reintegración y Reincorporación Social y Económica con Enfoque Diferencial Étnico y de Género, se encuentra actualmente en etapa de consulta previa con las autoridades Étnicas de los Territorios en los cuales se llevará a cabo este proceso, razón por la cual no se reportan personas beneficiadas por parte de este programa, hasta no suplir este paso.</w:t>
            </w:r>
          </w:p>
        </w:tc>
      </w:tr>
      <w:tr w:rsidR="007D5F9E" w14:paraId="6C44E4EA"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445CB45E" w14:textId="77777777" w:rsidR="007D5F9E" w:rsidRDefault="007D5F9E" w:rsidP="007D5F9E">
            <w:pPr>
              <w:jc w:val="center"/>
              <w:rPr>
                <w:sz w:val="24"/>
                <w:szCs w:val="24"/>
              </w:rPr>
            </w:pPr>
            <w:r>
              <w:rPr>
                <w:noProof/>
                <w:lang w:eastAsia="es-CO"/>
              </w:rPr>
              <w:drawing>
                <wp:inline distT="0" distB="0" distL="0" distR="0" wp14:anchorId="48BC5DF4" wp14:editId="7D6D47EF">
                  <wp:extent cx="942975" cy="838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338040E2" w14:textId="77777777" w:rsidR="007D5F9E" w:rsidRDefault="007D5F9E" w:rsidP="007D5F9E">
            <w:pPr>
              <w:jc w:val="both"/>
              <w:rPr>
                <w:color w:val="002060"/>
                <w:sz w:val="28"/>
                <w:szCs w:val="28"/>
              </w:rPr>
            </w:pPr>
            <w:r>
              <w:rPr>
                <w:color w:val="002060"/>
                <w:sz w:val="28"/>
                <w:szCs w:val="28"/>
              </w:rPr>
              <w:t>¿En qué municipios desarrollamos la acción?</w:t>
            </w:r>
          </w:p>
          <w:p w14:paraId="2B0E7656" w14:textId="77777777" w:rsidR="00524D95" w:rsidRDefault="007D5F9E" w:rsidP="00524D95">
            <w:pPr>
              <w:jc w:val="both"/>
              <w:rPr>
                <w:i/>
                <w:sz w:val="24"/>
                <w:szCs w:val="24"/>
              </w:rPr>
            </w:pPr>
            <w:r>
              <w:rPr>
                <w:sz w:val="24"/>
                <w:szCs w:val="24"/>
              </w:rPr>
              <w:t xml:space="preserve"> </w:t>
            </w:r>
          </w:p>
          <w:p w14:paraId="4A9A0A2E" w14:textId="695E8EAE" w:rsidR="00524D95" w:rsidRPr="00144D4F" w:rsidRDefault="00524D95" w:rsidP="009D507C">
            <w:pPr>
              <w:pStyle w:val="Prrafodelista"/>
              <w:numPr>
                <w:ilvl w:val="0"/>
                <w:numId w:val="34"/>
              </w:numPr>
              <w:jc w:val="both"/>
              <w:rPr>
                <w:rFonts w:cstheme="minorHAnsi"/>
              </w:rPr>
            </w:pPr>
            <w:r w:rsidRPr="00144D4F">
              <w:rPr>
                <w:rFonts w:cstheme="minorHAnsi"/>
                <w:b/>
                <w:bCs/>
              </w:rPr>
              <w:t xml:space="preserve">Componente indígena: </w:t>
            </w:r>
            <w:r w:rsidRPr="00144D4F">
              <w:rPr>
                <w:rFonts w:cstheme="minorHAnsi"/>
              </w:rPr>
              <w:t>En relación con el componente de Pueblos Indígenas, la gestión en 2021 estuvo centrada en la realización del despliegue territorial para el desarrollo de encuentros en el marco de la socialización y retroalimentación del Programa Especial de Armonización componente indígena, lo anterior en cumplimiento a la ruta metodológica concertada, esos encuentros se desarrollaron en los siguientes territorios: Dos en el departamento de Cundinamarca (Chinauta y Bogotá), uno en Cesar (Valledupar), dos en  Meta (Mesetas y Uribe), cinco en el departamento del Cauca (La Vega, Santander de Quilichao, Popayán, Inzá y Caldono), uno en Caquetá, (La Montañita), dos en Nariño (Cumbal e Ipiales), uno en Chocó (Quibdó), uno en Antioquia (Dabeiba), uno en Tolima (Chaparral), uno en Guaviare (San José del Guaviare), uno en Valle del Cauca (Florida), uno en La Guajira (Fonseca) y uno en Putumayo (Villa Garzón).</w:t>
            </w:r>
          </w:p>
          <w:p w14:paraId="128568A5" w14:textId="77777777" w:rsidR="00524D95" w:rsidRPr="00160F33" w:rsidRDefault="00524D95" w:rsidP="00524D95">
            <w:pPr>
              <w:pStyle w:val="Prrafodelista"/>
              <w:rPr>
                <w:rFonts w:cstheme="minorHAnsi"/>
              </w:rPr>
            </w:pPr>
          </w:p>
          <w:p w14:paraId="1C5E6492" w14:textId="6B949747" w:rsidR="007D5F9E" w:rsidRDefault="00524D95" w:rsidP="00144D4F">
            <w:pPr>
              <w:pStyle w:val="Prrafodelista"/>
              <w:numPr>
                <w:ilvl w:val="0"/>
                <w:numId w:val="34"/>
              </w:numPr>
              <w:rPr>
                <w:sz w:val="24"/>
                <w:szCs w:val="24"/>
              </w:rPr>
            </w:pPr>
            <w:r w:rsidRPr="00524D95">
              <w:rPr>
                <w:rFonts w:cstheme="minorHAnsi"/>
                <w:b/>
              </w:rPr>
              <w:t xml:space="preserve">Componente NARP: </w:t>
            </w:r>
            <w:r w:rsidRPr="00160F33">
              <w:rPr>
                <w:rFonts w:cstheme="minorHAnsi"/>
                <w:bCs/>
              </w:rPr>
              <w:t>En relación con el componente de comunidades negras, afrocolombianas, raizales y palenqueras</w:t>
            </w:r>
            <w:r w:rsidRPr="00160F33">
              <w:rPr>
                <w:rFonts w:cstheme="minorHAnsi"/>
              </w:rPr>
              <w:t xml:space="preserve">, se desarrollaron eventos comunitarios y participativos con personas en proceso de reintegración y reincorporación con el fin de implementar la estrategia de “Fortalecer capacidades y conocimientos en torno a la reincorporación y reintegración étnica para las personas pertenecientes a las comunidades negras, afrocolombianas, raizales y palenqueras”, donde uno de sus objetivos fue </w:t>
            </w:r>
            <w:r>
              <w:rPr>
                <w:rFonts w:cstheme="minorHAnsi"/>
              </w:rPr>
              <w:t>s</w:t>
            </w:r>
            <w:r w:rsidRPr="00160F33">
              <w:rPr>
                <w:rFonts w:cstheme="minorHAnsi"/>
              </w:rPr>
              <w:t xml:space="preserve">ocializar los avances que se han tenido en la formulación y consulta del Programa Especial de Armonización para esta población.  Lo encuentros se dieron en las ciudades de Cali, Buenaventura, Cartagena, en los municipios de Guapi, Tumaco, San Basilio de Palenque y en el </w:t>
            </w:r>
            <w:r>
              <w:rPr>
                <w:rFonts w:cstheme="minorHAnsi"/>
              </w:rPr>
              <w:t xml:space="preserve">antiguos </w:t>
            </w:r>
            <w:r w:rsidRPr="00160F33">
              <w:rPr>
                <w:rFonts w:cstheme="minorHAnsi"/>
              </w:rPr>
              <w:t>ETCR Brisas, Caracolí – Urabá.</w:t>
            </w:r>
          </w:p>
        </w:tc>
      </w:tr>
      <w:tr w:rsidR="007D5F9E" w14:paraId="1E081787" w14:textId="77777777" w:rsidTr="007D5F9E">
        <w:tc>
          <w:tcPr>
            <w:tcW w:w="1726" w:type="dxa"/>
            <w:tcBorders>
              <w:top w:val="single" w:sz="4" w:space="0" w:color="0070C0"/>
              <w:left w:val="single" w:sz="4" w:space="0" w:color="0070C0"/>
              <w:bottom w:val="single" w:sz="4" w:space="0" w:color="0070C0"/>
              <w:right w:val="nil"/>
            </w:tcBorders>
            <w:vAlign w:val="center"/>
            <w:hideMark/>
          </w:tcPr>
          <w:p w14:paraId="2A0EE7D6" w14:textId="77777777" w:rsidR="007D5F9E" w:rsidRDefault="007D5F9E" w:rsidP="007D5F9E">
            <w:pPr>
              <w:jc w:val="center"/>
            </w:pPr>
            <w:r>
              <w:rPr>
                <w:noProof/>
                <w:color w:val="3366CC"/>
                <w:lang w:eastAsia="es-CO"/>
              </w:rPr>
              <w:drawing>
                <wp:inline distT="0" distB="0" distL="0" distR="0" wp14:anchorId="646D840C" wp14:editId="586FB3AC">
                  <wp:extent cx="962025" cy="8572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7102" w:type="dxa"/>
            <w:tcBorders>
              <w:top w:val="single" w:sz="4" w:space="0" w:color="0070C0"/>
              <w:left w:val="nil"/>
              <w:bottom w:val="single" w:sz="4" w:space="0" w:color="0070C0"/>
              <w:right w:val="single" w:sz="4" w:space="0" w:color="0070C0"/>
            </w:tcBorders>
          </w:tcPr>
          <w:p w14:paraId="18E0B5EA" w14:textId="77777777" w:rsidR="007D5F9E" w:rsidRDefault="007D5F9E" w:rsidP="007D5F9E">
            <w:pPr>
              <w:jc w:val="both"/>
              <w:rPr>
                <w:color w:val="002060"/>
                <w:sz w:val="28"/>
                <w:szCs w:val="28"/>
              </w:rPr>
            </w:pPr>
            <w:r>
              <w:rPr>
                <w:color w:val="002060"/>
                <w:sz w:val="28"/>
                <w:szCs w:val="28"/>
              </w:rPr>
              <w:t>¿Qué desafíos y retos tuvimos para el cumplimiento?</w:t>
            </w:r>
          </w:p>
          <w:p w14:paraId="4C435AB4" w14:textId="77777777" w:rsidR="007D29AA" w:rsidRDefault="007D29AA" w:rsidP="007D29AA">
            <w:pPr>
              <w:jc w:val="both"/>
              <w:rPr>
                <w:rFonts w:cs="Arial"/>
              </w:rPr>
            </w:pPr>
          </w:p>
          <w:p w14:paraId="7072CA6B" w14:textId="6AB3FABD" w:rsidR="00452CD5" w:rsidRDefault="007D29AA" w:rsidP="00D81F34">
            <w:pPr>
              <w:rPr>
                <w:rFonts w:cstheme="minorHAnsi"/>
              </w:rPr>
            </w:pPr>
            <w:r w:rsidRPr="00ED7FCF">
              <w:rPr>
                <w:rFonts w:cs="Arial"/>
                <w:b/>
              </w:rPr>
              <w:t>Programa especial de armonización para la reintegración y reincorporación social y económica con enfoque diferencial étnico y de género</w:t>
            </w:r>
            <w:r w:rsidR="00452CD5" w:rsidRPr="00ED7FCF">
              <w:rPr>
                <w:rFonts w:cs="Arial"/>
                <w:b/>
              </w:rPr>
              <w:t>:</w:t>
            </w:r>
            <w:r w:rsidR="00452CD5" w:rsidRPr="00E774F2">
              <w:rPr>
                <w:rFonts w:cs="Arial"/>
              </w:rPr>
              <w:t xml:space="preserve"> </w:t>
            </w:r>
            <w:r w:rsidR="00D81F34" w:rsidRPr="00D81F34">
              <w:rPr>
                <w:rFonts w:cs="Arial"/>
              </w:rPr>
              <w:t>E</w:t>
            </w:r>
            <w:r w:rsidR="00452CD5" w:rsidRPr="00D81F34">
              <w:rPr>
                <w:rFonts w:cstheme="minorHAnsi"/>
              </w:rPr>
              <w:t xml:space="preserve">n 2021 se adelantaron como desafíos el acercamiento con las autoridades indígenas y NARP para el fortalecimiento de las propuestas para el programa especial de </w:t>
            </w:r>
            <w:r w:rsidR="00452CD5" w:rsidRPr="00D81F34">
              <w:rPr>
                <w:rFonts w:cstheme="minorHAnsi"/>
              </w:rPr>
              <w:lastRenderedPageBreak/>
              <w:t>armonización de acuerdo a los intereses de la población beneficiaria y de las comunidades étnicas.</w:t>
            </w:r>
          </w:p>
          <w:p w14:paraId="49C45DD6" w14:textId="77777777" w:rsidR="00ED7FCF" w:rsidRPr="00D81F34" w:rsidRDefault="00ED7FCF" w:rsidP="00D81F34">
            <w:pPr>
              <w:rPr>
                <w:rFonts w:cstheme="minorHAnsi"/>
                <w:b/>
              </w:rPr>
            </w:pPr>
          </w:p>
          <w:p w14:paraId="637F19A7" w14:textId="1D4DCF5C" w:rsidR="007D5F9E" w:rsidRPr="007D29AA" w:rsidRDefault="00D81F34" w:rsidP="00ED7FCF">
            <w:pPr>
              <w:rPr>
                <w:color w:val="002060"/>
                <w:sz w:val="28"/>
                <w:szCs w:val="28"/>
              </w:rPr>
            </w:pPr>
            <w:r w:rsidRPr="00E774F2">
              <w:t>En el marco del programa de armonización, no se abordaron medidas específicas para a adoptar por la contingencia presentada como resultado de la COVID-19.  Las medidas adoptadas se trabajaron durante el año 2020 y se han ido apropiando de acuerdo a los temas relacionados con la Ruta de reincorporación.</w:t>
            </w:r>
          </w:p>
        </w:tc>
      </w:tr>
    </w:tbl>
    <w:p w14:paraId="5B79152E" w14:textId="504CBC3A" w:rsidR="007D5F9E" w:rsidRDefault="007D5F9E" w:rsidP="005965DF">
      <w:pPr>
        <w:spacing w:after="0" w:line="240" w:lineRule="auto"/>
        <w:jc w:val="both"/>
        <w:rPr>
          <w:sz w:val="24"/>
          <w:szCs w:val="24"/>
        </w:rPr>
      </w:pPr>
    </w:p>
    <w:p w14:paraId="4E23C023" w14:textId="46ED0F8D" w:rsidR="00784E2E" w:rsidRPr="00920919" w:rsidRDefault="00784E2E" w:rsidP="00784E2E">
      <w:pPr>
        <w:spacing w:line="240" w:lineRule="auto"/>
        <w:jc w:val="both"/>
        <w:rPr>
          <w:rFonts w:cs="Arial"/>
          <w:color w:val="000000"/>
          <w:sz w:val="24"/>
          <w:szCs w:val="24"/>
        </w:rPr>
      </w:pPr>
      <w:r w:rsidRPr="00920919">
        <w:rPr>
          <w:rFonts w:cs="Arial"/>
          <w:b/>
          <w:bCs/>
          <w:color w:val="000000"/>
          <w:sz w:val="24"/>
          <w:szCs w:val="24"/>
        </w:rPr>
        <w:t>Nota</w:t>
      </w:r>
      <w:r w:rsidRPr="00920919">
        <w:rPr>
          <w:rFonts w:cs="Arial"/>
          <w:color w:val="000000"/>
          <w:sz w:val="24"/>
          <w:szCs w:val="24"/>
        </w:rPr>
        <w:t>: Los demás indicadores del Plan hacen parte del Plan Marco de Implementación y el reporte cuantitativo del avance de los indicadores puede ser consultado en el Sistema Integrado de Información para el Posconflicto – SIIPO en el siguiente enlace:</w:t>
      </w:r>
      <w:r w:rsidR="00144D4F">
        <w:rPr>
          <w:rFonts w:cs="Arial"/>
          <w:color w:val="000000"/>
          <w:sz w:val="24"/>
          <w:szCs w:val="24"/>
        </w:rPr>
        <w:t xml:space="preserve"> </w:t>
      </w:r>
      <w:hyperlink r:id="rId20" w:history="1">
        <w:r w:rsidR="00144D4F" w:rsidRPr="00530E6B">
          <w:rPr>
            <w:rStyle w:val="Hipervnculo"/>
            <w:rFonts w:cs="Arial"/>
            <w:sz w:val="24"/>
            <w:szCs w:val="24"/>
          </w:rPr>
          <w:t>https://siipo.dnp.gov.co/</w:t>
        </w:r>
      </w:hyperlink>
      <w:r w:rsidR="00144D4F">
        <w:rPr>
          <w:rFonts w:cs="Arial"/>
          <w:color w:val="000000"/>
          <w:sz w:val="24"/>
          <w:szCs w:val="24"/>
        </w:rPr>
        <w:t xml:space="preserve">  </w:t>
      </w:r>
    </w:p>
    <w:p w14:paraId="4331CFF3" w14:textId="7DE31873" w:rsidR="00784E2E" w:rsidRPr="00920919" w:rsidRDefault="00784E2E" w:rsidP="00631DF4">
      <w:pPr>
        <w:pStyle w:val="Prrafodelista"/>
        <w:numPr>
          <w:ilvl w:val="0"/>
          <w:numId w:val="3"/>
        </w:numPr>
        <w:spacing w:after="0" w:line="240" w:lineRule="auto"/>
        <w:jc w:val="both"/>
        <w:rPr>
          <w:sz w:val="24"/>
          <w:szCs w:val="24"/>
        </w:rPr>
      </w:pPr>
      <w:bookmarkStart w:id="2" w:name="_Hlk99037921"/>
      <w:r w:rsidRPr="00920919">
        <w:rPr>
          <w:sz w:val="36"/>
          <w:szCs w:val="36"/>
        </w:rPr>
        <w:t xml:space="preserve">Avances en Instrumentos Normativos y Otras Acciones para la Construcción de Paz. </w:t>
      </w:r>
    </w:p>
    <w:bookmarkEnd w:id="2"/>
    <w:p w14:paraId="4695B935" w14:textId="78EEF5E6" w:rsidR="00784E2E" w:rsidRPr="00920919" w:rsidRDefault="00784E2E" w:rsidP="005965DF">
      <w:pPr>
        <w:spacing w:after="0" w:line="240" w:lineRule="auto"/>
        <w:jc w:val="both"/>
        <w:rPr>
          <w:sz w:val="24"/>
          <w:szCs w:val="24"/>
        </w:rPr>
      </w:pPr>
    </w:p>
    <w:p w14:paraId="0263DE09" w14:textId="77777777" w:rsidR="00784E2E" w:rsidRPr="00920919" w:rsidRDefault="00784E2E" w:rsidP="00784E2E">
      <w:pPr>
        <w:spacing w:after="0" w:line="240" w:lineRule="auto"/>
        <w:rPr>
          <w:sz w:val="24"/>
          <w:szCs w:val="24"/>
        </w:rPr>
      </w:pPr>
      <w:r w:rsidRPr="00920919">
        <w:rPr>
          <w:sz w:val="24"/>
          <w:szCs w:val="24"/>
        </w:rPr>
        <w:t xml:space="preserve">A continuación, encuentra el avance de las acciones que ha desarrollado esta entidad en cumplimiento de normatividad derivada de la implementación del Acuerdo de Paz que no están directamente relacionadas con un producto e indicador asociado a PMI; y aquellas acciones que, en cumplimiento de las funciones propias de la entidad, se desarrollaron para cumplir lo acordado. </w:t>
      </w:r>
    </w:p>
    <w:p w14:paraId="4C49A21C" w14:textId="77777777" w:rsidR="00784E2E" w:rsidRPr="00920919" w:rsidRDefault="00784E2E" w:rsidP="00784E2E">
      <w:pPr>
        <w:spacing w:after="0" w:line="240" w:lineRule="auto"/>
        <w:rPr>
          <w:sz w:val="24"/>
          <w:szCs w:val="24"/>
        </w:rPr>
      </w:pPr>
    </w:p>
    <w:p w14:paraId="3FDCF7C6" w14:textId="52B7DFB4" w:rsidR="00784E2E" w:rsidRPr="00920919" w:rsidRDefault="00784E2E" w:rsidP="00784E2E">
      <w:pPr>
        <w:spacing w:after="0" w:line="240" w:lineRule="auto"/>
        <w:rPr>
          <w:sz w:val="28"/>
          <w:szCs w:val="28"/>
        </w:rPr>
      </w:pPr>
      <w:r w:rsidRPr="00920919">
        <w:rPr>
          <w:sz w:val="28"/>
          <w:szCs w:val="28"/>
        </w:rPr>
        <w:t>Instrumentos normativos</w:t>
      </w:r>
    </w:p>
    <w:p w14:paraId="679AFDA2" w14:textId="77777777" w:rsidR="00784E2E" w:rsidRPr="00920919" w:rsidRDefault="00784E2E" w:rsidP="00784E2E">
      <w:pPr>
        <w:spacing w:after="0" w:line="240" w:lineRule="auto"/>
        <w:jc w:val="both"/>
        <w:rPr>
          <w:sz w:val="24"/>
          <w:szCs w:val="24"/>
        </w:rPr>
      </w:pPr>
    </w:p>
    <w:p w14:paraId="025C7BFC" w14:textId="28E8557F" w:rsidR="00784E2E" w:rsidRPr="00920919" w:rsidRDefault="00784E2E" w:rsidP="00784E2E">
      <w:pPr>
        <w:spacing w:after="0" w:line="240" w:lineRule="auto"/>
        <w:jc w:val="both"/>
        <w:rPr>
          <w:sz w:val="24"/>
          <w:szCs w:val="24"/>
        </w:rPr>
      </w:pPr>
      <w:r w:rsidRPr="00920919">
        <w:rPr>
          <w:sz w:val="24"/>
          <w:szCs w:val="24"/>
        </w:rPr>
        <w:t xml:space="preserve">En esta sección encuentra la información sobre otras acciones que viene desarrollando esta entidad para dar cumplimiento a decretos o leyes que se han expedidos con posterioridad a la firma del Acuerdo de Paz. </w:t>
      </w:r>
    </w:p>
    <w:p w14:paraId="7424A633" w14:textId="3D08F427" w:rsidR="00784E2E" w:rsidRPr="00920919" w:rsidRDefault="00784E2E" w:rsidP="00784E2E">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091C4F" w:rsidRPr="00920919" w14:paraId="58998644" w14:textId="77777777" w:rsidTr="00D57328">
        <w:tc>
          <w:tcPr>
            <w:tcW w:w="1696" w:type="dxa"/>
            <w:shd w:val="clear" w:color="auto" w:fill="002060"/>
            <w:vAlign w:val="center"/>
          </w:tcPr>
          <w:p w14:paraId="12736F3B" w14:textId="66004C84" w:rsidR="00091C4F" w:rsidRPr="00D57328" w:rsidRDefault="00091C4F" w:rsidP="00623C90">
            <w:pPr>
              <w:jc w:val="center"/>
              <w:rPr>
                <w:sz w:val="28"/>
                <w:szCs w:val="28"/>
              </w:rPr>
            </w:pPr>
            <w:r w:rsidRPr="00D57328">
              <w:rPr>
                <w:sz w:val="28"/>
                <w:szCs w:val="28"/>
              </w:rPr>
              <w:t>Compromiso Normativo</w:t>
            </w:r>
          </w:p>
        </w:tc>
        <w:tc>
          <w:tcPr>
            <w:tcW w:w="7132" w:type="dxa"/>
          </w:tcPr>
          <w:p w14:paraId="274D393C" w14:textId="29C307E8" w:rsidR="00091C4F" w:rsidRPr="00D57328" w:rsidRDefault="005B2C9D" w:rsidP="00DC55E8">
            <w:pPr>
              <w:jc w:val="both"/>
              <w:rPr>
                <w:rFonts w:asciiTheme="majorHAnsi" w:hAnsiTheme="majorHAnsi" w:cstheme="majorHAnsi"/>
                <w:sz w:val="24"/>
                <w:szCs w:val="24"/>
              </w:rPr>
            </w:pPr>
            <w:r w:rsidRPr="0097162F">
              <w:rPr>
                <w:sz w:val="24"/>
                <w:szCs w:val="24"/>
              </w:rPr>
              <w:t>Creación del Consejo Nacional de la Reincorporación</w:t>
            </w:r>
          </w:p>
        </w:tc>
      </w:tr>
      <w:tr w:rsidR="00091C4F" w:rsidRPr="00920919" w14:paraId="2BE726C7" w14:textId="77777777" w:rsidTr="00D57328">
        <w:tc>
          <w:tcPr>
            <w:tcW w:w="1696" w:type="dxa"/>
            <w:shd w:val="clear" w:color="auto" w:fill="002060"/>
            <w:vAlign w:val="center"/>
          </w:tcPr>
          <w:p w14:paraId="37BE3269" w14:textId="60164A48" w:rsidR="00091C4F" w:rsidRPr="00920919" w:rsidRDefault="00091C4F" w:rsidP="00623C90">
            <w:pPr>
              <w:jc w:val="center"/>
              <w:rPr>
                <w:sz w:val="24"/>
                <w:szCs w:val="24"/>
              </w:rPr>
            </w:pPr>
            <w:r w:rsidRPr="00920919">
              <w:rPr>
                <w:sz w:val="24"/>
                <w:szCs w:val="24"/>
              </w:rPr>
              <w:t>Decreto Ley</w:t>
            </w:r>
          </w:p>
        </w:tc>
        <w:tc>
          <w:tcPr>
            <w:tcW w:w="7132" w:type="dxa"/>
          </w:tcPr>
          <w:p w14:paraId="0ADAB4C7" w14:textId="5E647CE7" w:rsidR="00D57328" w:rsidRDefault="00524D95" w:rsidP="00623C90">
            <w:pPr>
              <w:jc w:val="both"/>
              <w:rPr>
                <w:sz w:val="24"/>
                <w:szCs w:val="24"/>
              </w:rPr>
            </w:pPr>
            <w:r w:rsidRPr="00524D95">
              <w:rPr>
                <w:sz w:val="24"/>
                <w:szCs w:val="24"/>
              </w:rPr>
              <w:t>Ley 20</w:t>
            </w:r>
            <w:r w:rsidR="005B2C9D">
              <w:rPr>
                <w:sz w:val="24"/>
                <w:szCs w:val="24"/>
              </w:rPr>
              <w:t>27</w:t>
            </w:r>
            <w:r w:rsidRPr="00524D95">
              <w:rPr>
                <w:sz w:val="24"/>
                <w:szCs w:val="24"/>
              </w:rPr>
              <w:t xml:space="preserve"> de 20</w:t>
            </w:r>
            <w:r w:rsidR="005B2C9D">
              <w:rPr>
                <w:sz w:val="24"/>
                <w:szCs w:val="24"/>
              </w:rPr>
              <w:t>16</w:t>
            </w:r>
          </w:p>
          <w:p w14:paraId="7163FB91" w14:textId="77777777" w:rsidR="00524D95" w:rsidRDefault="00524D95" w:rsidP="00623C90">
            <w:pPr>
              <w:jc w:val="both"/>
              <w:rPr>
                <w:sz w:val="24"/>
                <w:szCs w:val="24"/>
              </w:rPr>
            </w:pPr>
          </w:p>
          <w:p w14:paraId="16A0A503" w14:textId="15773C59" w:rsidR="00524D95" w:rsidRPr="00D57328" w:rsidRDefault="009D507C" w:rsidP="005B2C9D">
            <w:pPr>
              <w:jc w:val="both"/>
              <w:rPr>
                <w:sz w:val="24"/>
                <w:szCs w:val="24"/>
                <w:highlight w:val="yellow"/>
              </w:rPr>
            </w:pPr>
            <w:hyperlink r:id="rId21" w:anchor=":~:text=Dar%20lineamientos%20pare%20garantizar%20la,trata%20el%20punto%203.2.2.1" w:history="1">
              <w:r w:rsidR="005B2C9D" w:rsidRPr="00E73495">
                <w:rPr>
                  <w:rStyle w:val="Hipervnculo"/>
                  <w:sz w:val="24"/>
                  <w:szCs w:val="24"/>
                </w:rPr>
                <w:t>https://www.funcionpublica.gov.co/eva/gestornormativo/norma.php?i=78416#:~:text=Dar%20lineamientos%20pare%20garantizar%20la,trata%20el%20punto%203.2.2.1</w:t>
              </w:r>
            </w:hyperlink>
            <w:r w:rsidR="005B2C9D" w:rsidRPr="005B2C9D">
              <w:rPr>
                <w:sz w:val="24"/>
                <w:szCs w:val="24"/>
              </w:rPr>
              <w:t>.</w:t>
            </w:r>
            <w:r w:rsidR="005B2C9D">
              <w:rPr>
                <w:sz w:val="24"/>
                <w:szCs w:val="24"/>
              </w:rPr>
              <w:t xml:space="preserve"> </w:t>
            </w:r>
          </w:p>
        </w:tc>
      </w:tr>
    </w:tbl>
    <w:p w14:paraId="3BAB754F" w14:textId="77777777" w:rsidR="00F172EB" w:rsidRPr="00920919" w:rsidRDefault="00F172EB" w:rsidP="00784E2E">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091C4F" w:rsidRPr="00920919" w14:paraId="18B47131" w14:textId="77777777" w:rsidTr="00623C90">
        <w:tc>
          <w:tcPr>
            <w:tcW w:w="1726" w:type="dxa"/>
            <w:tcBorders>
              <w:top w:val="single" w:sz="4" w:space="0" w:color="0070C0"/>
              <w:left w:val="single" w:sz="4" w:space="0" w:color="0070C0"/>
              <w:bottom w:val="single" w:sz="4" w:space="0" w:color="0070C0"/>
            </w:tcBorders>
            <w:vAlign w:val="center"/>
          </w:tcPr>
          <w:p w14:paraId="3AFF0272" w14:textId="77777777" w:rsidR="00091C4F" w:rsidRPr="00920919" w:rsidRDefault="00091C4F" w:rsidP="00623C90">
            <w:pPr>
              <w:jc w:val="center"/>
              <w:rPr>
                <w:sz w:val="24"/>
                <w:szCs w:val="24"/>
              </w:rPr>
            </w:pPr>
            <w:r w:rsidRPr="00920919">
              <w:rPr>
                <w:noProof/>
                <w:lang w:eastAsia="es-CO"/>
              </w:rPr>
              <w:drawing>
                <wp:inline distT="0" distB="0" distL="0" distR="0" wp14:anchorId="5D8D0875" wp14:editId="068A5390">
                  <wp:extent cx="775335" cy="93726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640DB5D7" w14:textId="77777777" w:rsidR="00091C4F" w:rsidRPr="00920919" w:rsidRDefault="00091C4F" w:rsidP="00623C90">
            <w:pPr>
              <w:jc w:val="both"/>
              <w:rPr>
                <w:color w:val="002060"/>
                <w:sz w:val="28"/>
                <w:szCs w:val="28"/>
              </w:rPr>
            </w:pPr>
            <w:r w:rsidRPr="00920919">
              <w:rPr>
                <w:color w:val="002060"/>
                <w:sz w:val="28"/>
                <w:szCs w:val="28"/>
              </w:rPr>
              <w:t>¿Cómo lo hicimos?</w:t>
            </w:r>
          </w:p>
          <w:p w14:paraId="276A18A6" w14:textId="3D3951A5" w:rsidR="0097162F" w:rsidRDefault="0097162F" w:rsidP="0097162F">
            <w:pPr>
              <w:jc w:val="both"/>
              <w:rPr>
                <w:i/>
                <w:sz w:val="24"/>
                <w:szCs w:val="24"/>
              </w:rPr>
            </w:pPr>
          </w:p>
          <w:p w14:paraId="2C4063FC" w14:textId="77777777" w:rsidR="0097162F" w:rsidRPr="00FC5B37" w:rsidRDefault="0097162F" w:rsidP="0097162F">
            <w:pPr>
              <w:pStyle w:val="Prrafodelista"/>
              <w:ind w:left="32"/>
              <w:rPr>
                <w:rFonts w:cstheme="minorHAnsi"/>
              </w:rPr>
            </w:pPr>
            <w:r w:rsidRPr="00377266">
              <w:rPr>
                <w:rFonts w:cstheme="minorHAnsi"/>
              </w:rPr>
              <w:t xml:space="preserve">A partir del Decreto 2027 de 2016 se crea el Consejo Nacional de Reincorporación, se define el objeto, la composición y funciones de esta instancia, integrada por dos representantes del Gobierno Nacional: el Consejero para la Estabilización y la Consolidación y el Director General de la </w:t>
            </w:r>
            <w:r w:rsidRPr="00377266">
              <w:rPr>
                <w:rFonts w:cstheme="minorHAnsi"/>
              </w:rPr>
              <w:lastRenderedPageBreak/>
              <w:t>Agencia para la Reincorporación y la Normalización (ARN); dos representantes del colectivo FARC.</w:t>
            </w:r>
          </w:p>
          <w:p w14:paraId="3D487F8E" w14:textId="77777777" w:rsidR="0097162F" w:rsidRPr="00FC5B37" w:rsidRDefault="0097162F" w:rsidP="0097162F">
            <w:pPr>
              <w:pStyle w:val="Prrafodelista"/>
              <w:ind w:left="1593"/>
              <w:rPr>
                <w:rFonts w:cstheme="minorHAnsi"/>
              </w:rPr>
            </w:pPr>
          </w:p>
          <w:p w14:paraId="21524F97" w14:textId="77777777" w:rsidR="0097162F" w:rsidRPr="00FC5B37" w:rsidRDefault="0097162F" w:rsidP="0097162F">
            <w:r w:rsidRPr="00FC5B37">
              <w:t>Durante el año 2021 se realizaron 13 sesiones de CNR</w:t>
            </w:r>
            <w:r>
              <w:t xml:space="preserve"> y una regional</w:t>
            </w:r>
            <w:r w:rsidRPr="00FC5B37">
              <w:t>, se destacan los siguientes avances:</w:t>
            </w:r>
          </w:p>
          <w:p w14:paraId="6DC427FF" w14:textId="0F7A72EF" w:rsidR="0097162F" w:rsidRDefault="0097162F" w:rsidP="0097162F">
            <w:pPr>
              <w:rPr>
                <w:rFonts w:cstheme="minorHAnsi"/>
              </w:rPr>
            </w:pPr>
            <w:r w:rsidRPr="00535F10">
              <w:rPr>
                <w:rFonts w:cstheme="minorHAnsi"/>
              </w:rPr>
              <w:t xml:space="preserve">Sesión regional – Región Oriente: La primera sesión se realizó el 06 de marzo en Villavicencio, se destacan los siguientes logros: </w:t>
            </w:r>
          </w:p>
          <w:p w14:paraId="67980513" w14:textId="77777777" w:rsidR="00144D4F" w:rsidRPr="00535F10" w:rsidRDefault="00144D4F" w:rsidP="0097162F">
            <w:pPr>
              <w:rPr>
                <w:rFonts w:cstheme="minorHAnsi"/>
              </w:rPr>
            </w:pPr>
          </w:p>
          <w:p w14:paraId="193F612B" w14:textId="77777777" w:rsidR="0097162F" w:rsidRDefault="0097162F" w:rsidP="00631DF4">
            <w:pPr>
              <w:pStyle w:val="Prrafodelista"/>
              <w:numPr>
                <w:ilvl w:val="0"/>
                <w:numId w:val="35"/>
              </w:numPr>
              <w:rPr>
                <w:rFonts w:cstheme="minorHAnsi"/>
              </w:rPr>
            </w:pPr>
            <w:r w:rsidRPr="00FC5B37">
              <w:rPr>
                <w:rFonts w:cstheme="minorHAnsi"/>
              </w:rPr>
              <w:t xml:space="preserve">Se logró la construcción de un plan de acción regional con 76 acuerdos distribuidos en 8 mesas con la participación de cuarenta y tres (43) instituciones. </w:t>
            </w:r>
          </w:p>
          <w:p w14:paraId="2F7F6818" w14:textId="77777777" w:rsidR="0097162F" w:rsidRDefault="0097162F" w:rsidP="00631DF4">
            <w:pPr>
              <w:pStyle w:val="Prrafodelista"/>
              <w:numPr>
                <w:ilvl w:val="0"/>
                <w:numId w:val="35"/>
              </w:numPr>
              <w:rPr>
                <w:rFonts w:cstheme="minorHAnsi"/>
              </w:rPr>
            </w:pPr>
            <w:r w:rsidRPr="00FC5B37">
              <w:rPr>
                <w:rFonts w:cstheme="minorHAnsi"/>
              </w:rPr>
              <w:t xml:space="preserve">Hubo participación de delegados de 6 antiguos ETCR distribuidos en los tres departamentos. </w:t>
            </w:r>
          </w:p>
          <w:p w14:paraId="45C92068" w14:textId="77777777" w:rsidR="0097162F" w:rsidRDefault="0097162F" w:rsidP="00631DF4">
            <w:pPr>
              <w:pStyle w:val="Prrafodelista"/>
              <w:numPr>
                <w:ilvl w:val="0"/>
                <w:numId w:val="35"/>
              </w:numPr>
              <w:rPr>
                <w:rFonts w:cstheme="minorHAnsi"/>
              </w:rPr>
            </w:pPr>
            <w:r w:rsidRPr="00FC5B37">
              <w:rPr>
                <w:rFonts w:cstheme="minorHAnsi"/>
              </w:rPr>
              <w:t xml:space="preserve">Se acordó la creación de las instancias departamentales de reincorporación de Guaviare y Arauca. </w:t>
            </w:r>
          </w:p>
          <w:p w14:paraId="4FED1EC1" w14:textId="77777777" w:rsidR="0097162F" w:rsidRDefault="0097162F" w:rsidP="00631DF4">
            <w:pPr>
              <w:pStyle w:val="Prrafodelista"/>
              <w:numPr>
                <w:ilvl w:val="0"/>
                <w:numId w:val="35"/>
              </w:numPr>
              <w:rPr>
                <w:rFonts w:cstheme="minorHAnsi"/>
              </w:rPr>
            </w:pPr>
            <w:r w:rsidRPr="00FC5B37">
              <w:rPr>
                <w:rFonts w:cstheme="minorHAnsi"/>
              </w:rPr>
              <w:t xml:space="preserve">Se acordaron acciones de formación en economía solidaria y gestión comercial para las cooperativas gestoras de proyectos productivos. </w:t>
            </w:r>
          </w:p>
          <w:p w14:paraId="56C1BE4F" w14:textId="77777777" w:rsidR="0097162F" w:rsidRDefault="0097162F" w:rsidP="00631DF4">
            <w:pPr>
              <w:pStyle w:val="Prrafodelista"/>
              <w:numPr>
                <w:ilvl w:val="0"/>
                <w:numId w:val="35"/>
              </w:numPr>
              <w:rPr>
                <w:rFonts w:cstheme="minorHAnsi"/>
              </w:rPr>
            </w:pPr>
            <w:r w:rsidRPr="00FC5B37">
              <w:rPr>
                <w:rFonts w:cstheme="minorHAnsi"/>
              </w:rPr>
              <w:t xml:space="preserve">Se acordó la realización de un estudio diagnóstico del componente comercial de los proyectos productivos como también acciones para asesorar registros en buenas prácticas y acompañamiento en el acceso a convocatorias para el escalamiento productivo. </w:t>
            </w:r>
          </w:p>
          <w:p w14:paraId="61AEC1A0" w14:textId="77777777" w:rsidR="0097162F" w:rsidRPr="00FC5B37" w:rsidRDefault="0097162F" w:rsidP="00631DF4">
            <w:pPr>
              <w:pStyle w:val="Prrafodelista"/>
              <w:numPr>
                <w:ilvl w:val="0"/>
                <w:numId w:val="35"/>
              </w:numPr>
              <w:rPr>
                <w:rFonts w:cstheme="minorHAnsi"/>
              </w:rPr>
            </w:pPr>
            <w:r w:rsidRPr="00FC5B37">
              <w:rPr>
                <w:rFonts w:cstheme="minorHAnsi"/>
              </w:rPr>
              <w:t xml:space="preserve">Se comprometieron acciones con entidades de salud para fortalecer la atención con enfoque de discapacidad y fortalecer la participación ciudadana de los usuarios en reincorporación. Se acordó la participación de instituciones del </w:t>
            </w:r>
            <w:r>
              <w:rPr>
                <w:rFonts w:cstheme="minorHAnsi"/>
              </w:rPr>
              <w:t xml:space="preserve">Sistema Integral de Verdad, Justicia y Reparación y no Repetición </w:t>
            </w:r>
            <w:r w:rsidRPr="00526DF6">
              <w:rPr>
                <w:rFonts w:cstheme="minorHAnsi"/>
              </w:rPr>
              <w:t>(SIVJRR) y la Oficina el Alto Comisionado para la Paz (OACP) en la promoción de escenario</w:t>
            </w:r>
            <w:r w:rsidRPr="00FC5B37">
              <w:rPr>
                <w:rFonts w:cstheme="minorHAnsi"/>
              </w:rPr>
              <w:t xml:space="preserve">s de reconciliación. </w:t>
            </w:r>
          </w:p>
          <w:p w14:paraId="08470AAB" w14:textId="77777777" w:rsidR="0097162F" w:rsidRPr="00535F10" w:rsidRDefault="0097162F" w:rsidP="0097162F">
            <w:pPr>
              <w:pStyle w:val="Prrafodelista"/>
              <w:ind w:left="1593"/>
              <w:rPr>
                <w:rFonts w:cstheme="minorHAnsi"/>
              </w:rPr>
            </w:pPr>
          </w:p>
          <w:p w14:paraId="2870F90C" w14:textId="77777777" w:rsidR="0097162F" w:rsidRDefault="0097162F" w:rsidP="0097162F">
            <w:pPr>
              <w:rPr>
                <w:rFonts w:cstheme="minorHAnsi"/>
              </w:rPr>
            </w:pPr>
            <w:r w:rsidRPr="00535F10">
              <w:rPr>
                <w:rFonts w:cstheme="minorHAnsi"/>
              </w:rPr>
              <w:t xml:space="preserve">En la sesión 122 se presentó por parte </w:t>
            </w:r>
            <w:r>
              <w:rPr>
                <w:rFonts w:cstheme="minorHAnsi"/>
              </w:rPr>
              <w:t>l</w:t>
            </w:r>
            <w:r w:rsidRPr="00535F10">
              <w:rPr>
                <w:rFonts w:cstheme="minorHAnsi"/>
              </w:rPr>
              <w:t xml:space="preserve">a Universidad Nacional de Colombia Sede Medellín y el Ministerio de Vivienda, Ciudad y Territorio los resultados de los estudios de Pre factibilidad para los antiguos ETCR. </w:t>
            </w:r>
          </w:p>
          <w:p w14:paraId="110EFA4F" w14:textId="77777777" w:rsidR="0097162F" w:rsidRPr="00535F10" w:rsidRDefault="0097162F" w:rsidP="0097162F">
            <w:pPr>
              <w:rPr>
                <w:rFonts w:cstheme="minorHAnsi"/>
              </w:rPr>
            </w:pPr>
          </w:p>
          <w:p w14:paraId="06A55DFA" w14:textId="77777777" w:rsidR="0097162F" w:rsidRDefault="0097162F" w:rsidP="0097162F">
            <w:pPr>
              <w:rPr>
                <w:rFonts w:cstheme="minorHAnsi"/>
              </w:rPr>
            </w:pPr>
            <w:r w:rsidRPr="00535F10">
              <w:rPr>
                <w:rFonts w:cstheme="minorHAnsi"/>
              </w:rPr>
              <w:t>En la sesión 124 se realizó la presentación del informe de balance del Programa Camino Diferencial de Vida por parte de la Consejería Presidencial para los Derechos Humanos, a partir de una línea de tiempo e información general del Programa, ubicación de la población, procesos del programa, recomendaciones y cierre.</w:t>
            </w:r>
          </w:p>
          <w:p w14:paraId="1112F8EB" w14:textId="77777777" w:rsidR="0097162F" w:rsidRPr="00535F10" w:rsidRDefault="0097162F" w:rsidP="0097162F">
            <w:pPr>
              <w:rPr>
                <w:rFonts w:cstheme="minorHAnsi"/>
              </w:rPr>
            </w:pPr>
          </w:p>
          <w:p w14:paraId="1FE41296" w14:textId="77777777" w:rsidR="0097162F" w:rsidRDefault="0097162F" w:rsidP="0097162F">
            <w:pPr>
              <w:rPr>
                <w:rFonts w:cstheme="minorHAnsi"/>
              </w:rPr>
            </w:pPr>
            <w:r w:rsidRPr="00535F10">
              <w:rPr>
                <w:rFonts w:cstheme="minorHAnsi"/>
              </w:rPr>
              <w:t xml:space="preserve">En la sesión 127 se aprueba la conformación de la mesa étnica con el objetivo de </w:t>
            </w:r>
            <w:r>
              <w:rPr>
                <w:rFonts w:cstheme="minorHAnsi"/>
              </w:rPr>
              <w:t>i</w:t>
            </w:r>
            <w:r w:rsidRPr="00535F10">
              <w:rPr>
                <w:rFonts w:cstheme="minorHAnsi"/>
              </w:rPr>
              <w:t>ncorporar el enfoque étnico en los planes, programas, proyectos y actividades propias de la reincorporación impactando positivamente el proceso de reincorporación de Pueblos Indígenas y comunidades Negras, Afrocolombianas, Raizales y Palenqueras, el de sus familias, comunidades y territorios en el marco de la reincorporación, contribuyendo al goce efectivo de sus derechos</w:t>
            </w:r>
            <w:r>
              <w:rPr>
                <w:rFonts w:cstheme="minorHAnsi"/>
              </w:rPr>
              <w:t>.</w:t>
            </w:r>
          </w:p>
          <w:p w14:paraId="0BA9B559" w14:textId="77777777" w:rsidR="0097162F" w:rsidRPr="00535F10" w:rsidRDefault="0097162F" w:rsidP="0097162F">
            <w:pPr>
              <w:rPr>
                <w:rFonts w:cstheme="minorHAnsi"/>
              </w:rPr>
            </w:pPr>
          </w:p>
          <w:p w14:paraId="089EDB4C" w14:textId="77777777" w:rsidR="0097162F" w:rsidRDefault="0097162F" w:rsidP="0097162F">
            <w:pPr>
              <w:rPr>
                <w:rFonts w:cstheme="minorHAnsi"/>
              </w:rPr>
            </w:pPr>
            <w:r w:rsidRPr="00535F10">
              <w:rPr>
                <w:rFonts w:cstheme="minorHAnsi"/>
              </w:rPr>
              <w:lastRenderedPageBreak/>
              <w:t>En la sesión 128 del CNR se aprobaron dos proyectos productivos: ‘ganadería doble propósito’ y ‘Producción y comercialización de Cacao’, que beneficiarán a 59 personas en reincorporación que residen en el municipio de Dabeiba, Antioquia. Estos dos proyectos tendrán una inversión que superan los $1.379 millones, de los cuales el Gobierno Nacional, a través de la Agencia para la Reincorporación y la Normalización (ARN), aportará $472 millones para su fortalecimiento.</w:t>
            </w:r>
          </w:p>
          <w:p w14:paraId="514F9C6B" w14:textId="77777777" w:rsidR="0097162F" w:rsidRPr="00535F10" w:rsidRDefault="0097162F" w:rsidP="0097162F">
            <w:pPr>
              <w:rPr>
                <w:rFonts w:cstheme="minorHAnsi"/>
              </w:rPr>
            </w:pPr>
          </w:p>
          <w:p w14:paraId="0E5CC9C0" w14:textId="661AFC57" w:rsidR="00091C4F" w:rsidRPr="00920919" w:rsidRDefault="0097162F" w:rsidP="0097162F">
            <w:pPr>
              <w:jc w:val="both"/>
              <w:rPr>
                <w:sz w:val="24"/>
                <w:szCs w:val="24"/>
              </w:rPr>
            </w:pPr>
            <w:r w:rsidRPr="00535F10">
              <w:rPr>
                <w:rFonts w:cstheme="minorHAnsi"/>
              </w:rPr>
              <w:t>En la sesión 129 del CNR se aprobó el esquema de salud para los antiguos ETCR</w:t>
            </w:r>
            <w:r>
              <w:rPr>
                <w:rFonts w:cstheme="minorHAnsi"/>
              </w:rPr>
              <w:t>.</w:t>
            </w:r>
            <w:r w:rsidRPr="00535F10">
              <w:rPr>
                <w:rFonts w:cstheme="minorHAnsi"/>
              </w:rPr>
              <w:t xml:space="preserve"> Se tomó en cuenta los </w:t>
            </w:r>
            <w:r>
              <w:rPr>
                <w:rFonts w:cstheme="minorHAnsi"/>
              </w:rPr>
              <w:t>a</w:t>
            </w:r>
            <w:r w:rsidRPr="00535F10">
              <w:rPr>
                <w:rFonts w:cstheme="minorHAnsi"/>
              </w:rPr>
              <w:t>vances en afiliación, acceso a servicios por SGSSS</w:t>
            </w:r>
            <w:r>
              <w:rPr>
                <w:rStyle w:val="Refdenotaalpie"/>
                <w:rFonts w:cstheme="minorHAnsi"/>
              </w:rPr>
              <w:footnoteReference w:id="7"/>
            </w:r>
            <w:r w:rsidRPr="00535F10">
              <w:rPr>
                <w:rFonts w:cstheme="minorHAnsi"/>
              </w:rPr>
              <w:t xml:space="preserve"> y cambios demográficos.</w:t>
            </w:r>
          </w:p>
        </w:tc>
      </w:tr>
      <w:tr w:rsidR="00091C4F" w:rsidRPr="00920919" w14:paraId="43330035" w14:textId="77777777" w:rsidTr="00623C90">
        <w:tc>
          <w:tcPr>
            <w:tcW w:w="1726" w:type="dxa"/>
            <w:tcBorders>
              <w:top w:val="single" w:sz="4" w:space="0" w:color="0070C0"/>
              <w:left w:val="single" w:sz="4" w:space="0" w:color="0070C0"/>
              <w:bottom w:val="single" w:sz="4" w:space="0" w:color="0070C0"/>
            </w:tcBorders>
            <w:vAlign w:val="center"/>
          </w:tcPr>
          <w:p w14:paraId="5D67363F" w14:textId="77777777" w:rsidR="00091C4F" w:rsidRPr="00920919" w:rsidRDefault="00091C4F" w:rsidP="00623C90">
            <w:pPr>
              <w:jc w:val="center"/>
              <w:rPr>
                <w:sz w:val="24"/>
                <w:szCs w:val="24"/>
              </w:rPr>
            </w:pPr>
            <w:r w:rsidRPr="00920919">
              <w:rPr>
                <w:noProof/>
                <w:lang w:eastAsia="es-CO"/>
              </w:rPr>
              <w:lastRenderedPageBreak/>
              <w:drawing>
                <wp:inline distT="0" distB="0" distL="0" distR="0" wp14:anchorId="03B473BD" wp14:editId="3CC8C485">
                  <wp:extent cx="925830" cy="8001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5B98F9BC" w14:textId="41742A1A" w:rsidR="00091C4F" w:rsidRDefault="00091C4F" w:rsidP="00623C90">
            <w:pPr>
              <w:jc w:val="both"/>
              <w:rPr>
                <w:color w:val="002060"/>
                <w:sz w:val="28"/>
                <w:szCs w:val="28"/>
              </w:rPr>
            </w:pPr>
            <w:r w:rsidRPr="00920919">
              <w:rPr>
                <w:color w:val="002060"/>
                <w:sz w:val="28"/>
                <w:szCs w:val="28"/>
              </w:rPr>
              <w:t>¿Quiénes se beneficiaron?</w:t>
            </w:r>
          </w:p>
          <w:p w14:paraId="53B4F4D0" w14:textId="77777777" w:rsidR="0097162F" w:rsidRDefault="0097162F" w:rsidP="0097162F">
            <w:pPr>
              <w:rPr>
                <w:rFonts w:cstheme="minorHAnsi"/>
                <w:sz w:val="24"/>
                <w:szCs w:val="24"/>
              </w:rPr>
            </w:pPr>
          </w:p>
          <w:p w14:paraId="5833D972" w14:textId="77777777" w:rsidR="00091C4F" w:rsidRDefault="0097162F" w:rsidP="0097162F">
            <w:pPr>
              <w:rPr>
                <w:rFonts w:cstheme="minorHAnsi"/>
                <w:sz w:val="24"/>
                <w:szCs w:val="24"/>
              </w:rPr>
            </w:pPr>
            <w:r w:rsidRPr="00377266">
              <w:rPr>
                <w:rFonts w:cstheme="minorHAnsi"/>
                <w:sz w:val="24"/>
                <w:szCs w:val="24"/>
              </w:rPr>
              <w:t>13.999 personas acreditadas por la Oficina del Alto Comisionado para la Paz, como ex integrantes de FARC-EP.</w:t>
            </w:r>
          </w:p>
          <w:p w14:paraId="2333C040" w14:textId="77777777" w:rsidR="0097162F" w:rsidRDefault="0097162F" w:rsidP="0097162F">
            <w:pPr>
              <w:rPr>
                <w:rFonts w:cstheme="minorHAnsi"/>
                <w:sz w:val="24"/>
                <w:szCs w:val="24"/>
              </w:rPr>
            </w:pPr>
          </w:p>
          <w:p w14:paraId="1EE14579" w14:textId="58E9FA4A" w:rsidR="0097162F" w:rsidRPr="00920919" w:rsidRDefault="0097162F" w:rsidP="0097162F">
            <w:pPr>
              <w:rPr>
                <w:sz w:val="24"/>
                <w:szCs w:val="24"/>
              </w:rPr>
            </w:pPr>
            <w:r w:rsidRPr="00377266">
              <w:rPr>
                <w:rFonts w:cstheme="minorHAnsi"/>
                <w:sz w:val="24"/>
                <w:szCs w:val="24"/>
              </w:rPr>
              <w:t>Las acciones durante el 20</w:t>
            </w:r>
            <w:r>
              <w:rPr>
                <w:rFonts w:cstheme="minorHAnsi"/>
                <w:sz w:val="24"/>
                <w:szCs w:val="24"/>
              </w:rPr>
              <w:t>21,</w:t>
            </w:r>
            <w:r w:rsidRPr="00377266">
              <w:rPr>
                <w:rFonts w:cstheme="minorHAnsi"/>
                <w:sz w:val="24"/>
                <w:szCs w:val="24"/>
              </w:rPr>
              <w:t xml:space="preserve"> se han desarrollado en los antiguos</w:t>
            </w:r>
            <w:r>
              <w:rPr>
                <w:rFonts w:cstheme="minorHAnsi"/>
                <w:sz w:val="24"/>
                <w:szCs w:val="24"/>
              </w:rPr>
              <w:t xml:space="preserve"> </w:t>
            </w:r>
            <w:r w:rsidRPr="00377266">
              <w:rPr>
                <w:rFonts w:cstheme="minorHAnsi"/>
                <w:sz w:val="24"/>
                <w:szCs w:val="24"/>
              </w:rPr>
              <w:t xml:space="preserve">Espacios </w:t>
            </w:r>
            <w:r>
              <w:rPr>
                <w:rFonts w:cstheme="minorHAnsi"/>
                <w:sz w:val="24"/>
                <w:szCs w:val="24"/>
              </w:rPr>
              <w:t xml:space="preserve">Transitorios </w:t>
            </w:r>
            <w:r w:rsidRPr="00377266">
              <w:rPr>
                <w:rFonts w:cstheme="minorHAnsi"/>
                <w:sz w:val="24"/>
                <w:szCs w:val="24"/>
              </w:rPr>
              <w:t>de Capacitación y Reincorporación</w:t>
            </w:r>
            <w:r>
              <w:rPr>
                <w:rFonts w:cstheme="minorHAnsi"/>
                <w:sz w:val="24"/>
                <w:szCs w:val="24"/>
              </w:rPr>
              <w:t xml:space="preserve"> -ETCR</w:t>
            </w:r>
            <w:r w:rsidRPr="00377266">
              <w:rPr>
                <w:rFonts w:cstheme="minorHAnsi"/>
                <w:sz w:val="24"/>
                <w:szCs w:val="24"/>
              </w:rPr>
              <w:t xml:space="preserve"> donde se encuentran ubicados los </w:t>
            </w:r>
            <w:r>
              <w:rPr>
                <w:rFonts w:cstheme="minorHAnsi"/>
                <w:sz w:val="24"/>
                <w:szCs w:val="24"/>
              </w:rPr>
              <w:t>ex</w:t>
            </w:r>
            <w:r w:rsidRPr="00377266">
              <w:rPr>
                <w:rFonts w:cstheme="minorHAnsi"/>
                <w:sz w:val="24"/>
                <w:szCs w:val="24"/>
              </w:rPr>
              <w:t xml:space="preserve"> </w:t>
            </w:r>
            <w:r>
              <w:rPr>
                <w:rFonts w:cstheme="minorHAnsi"/>
                <w:sz w:val="24"/>
                <w:szCs w:val="24"/>
              </w:rPr>
              <w:t>integrantes</w:t>
            </w:r>
            <w:r w:rsidRPr="00377266">
              <w:rPr>
                <w:rFonts w:cstheme="minorHAnsi"/>
                <w:sz w:val="24"/>
                <w:szCs w:val="24"/>
              </w:rPr>
              <w:t xml:space="preserve"> </w:t>
            </w:r>
            <w:r>
              <w:rPr>
                <w:rFonts w:cstheme="minorHAnsi"/>
                <w:sz w:val="24"/>
                <w:szCs w:val="24"/>
              </w:rPr>
              <w:t>–</w:t>
            </w:r>
            <w:r w:rsidRPr="00377266">
              <w:rPr>
                <w:rFonts w:cstheme="minorHAnsi"/>
                <w:sz w:val="24"/>
                <w:szCs w:val="24"/>
              </w:rPr>
              <w:t xml:space="preserve"> FARC</w:t>
            </w:r>
            <w:r>
              <w:rPr>
                <w:rFonts w:cstheme="minorHAnsi"/>
                <w:sz w:val="24"/>
                <w:szCs w:val="24"/>
              </w:rPr>
              <w:t xml:space="preserve">, así como </w:t>
            </w:r>
            <w:r w:rsidRPr="00377266">
              <w:rPr>
                <w:rFonts w:cstheme="minorHAnsi"/>
                <w:sz w:val="24"/>
                <w:szCs w:val="24"/>
              </w:rPr>
              <w:t>en cualquier parte del país donde se encuentre ubicada la población beneficiaria</w:t>
            </w:r>
            <w:r>
              <w:rPr>
                <w:rFonts w:cstheme="minorHAnsi"/>
                <w:sz w:val="24"/>
                <w:szCs w:val="24"/>
              </w:rPr>
              <w:t>.</w:t>
            </w:r>
          </w:p>
        </w:tc>
      </w:tr>
      <w:tr w:rsidR="005409D3" w:rsidRPr="00920919" w14:paraId="79A543A0" w14:textId="77777777" w:rsidTr="00623C90">
        <w:tc>
          <w:tcPr>
            <w:tcW w:w="1726" w:type="dxa"/>
            <w:tcBorders>
              <w:top w:val="single" w:sz="4" w:space="0" w:color="0070C0"/>
              <w:left w:val="single" w:sz="4" w:space="0" w:color="0070C0"/>
              <w:bottom w:val="single" w:sz="4" w:space="0" w:color="0070C0"/>
            </w:tcBorders>
            <w:vAlign w:val="center"/>
          </w:tcPr>
          <w:p w14:paraId="35E4F59C" w14:textId="0BA7B880" w:rsidR="005409D3" w:rsidRPr="00920919" w:rsidRDefault="005409D3" w:rsidP="005409D3">
            <w:pPr>
              <w:jc w:val="center"/>
            </w:pPr>
            <w:r w:rsidRPr="00920919">
              <w:rPr>
                <w:noProof/>
                <w:color w:val="3366CC"/>
                <w:lang w:eastAsia="es-CO"/>
              </w:rPr>
              <w:drawing>
                <wp:inline distT="0" distB="0" distL="0" distR="0" wp14:anchorId="7C8EE123" wp14:editId="10600549">
                  <wp:extent cx="958850" cy="861695"/>
                  <wp:effectExtent l="0" t="0" r="0" b="0"/>
                  <wp:docPr id="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EB787E0" w14:textId="77777777" w:rsidR="005409D3" w:rsidRPr="00920919" w:rsidRDefault="005409D3" w:rsidP="005409D3">
            <w:pPr>
              <w:jc w:val="both"/>
              <w:rPr>
                <w:color w:val="002060"/>
                <w:sz w:val="28"/>
                <w:szCs w:val="28"/>
              </w:rPr>
            </w:pPr>
            <w:r w:rsidRPr="00920919">
              <w:rPr>
                <w:color w:val="002060"/>
                <w:sz w:val="28"/>
                <w:szCs w:val="28"/>
              </w:rPr>
              <w:t>¿Qué desafíos y retos tuvimos para el cumplimiento?</w:t>
            </w:r>
          </w:p>
          <w:p w14:paraId="48971FF3" w14:textId="77777777" w:rsidR="00ED7FCF" w:rsidRDefault="00ED7FCF" w:rsidP="006736BB">
            <w:pPr>
              <w:jc w:val="both"/>
              <w:rPr>
                <w:sz w:val="24"/>
                <w:szCs w:val="24"/>
              </w:rPr>
            </w:pPr>
          </w:p>
          <w:p w14:paraId="6C7E3F27" w14:textId="15A72730" w:rsidR="00D81F34" w:rsidRDefault="00D81F34" w:rsidP="006736BB">
            <w:pPr>
              <w:jc w:val="both"/>
              <w:rPr>
                <w:sz w:val="24"/>
                <w:szCs w:val="24"/>
              </w:rPr>
            </w:pPr>
            <w:r>
              <w:rPr>
                <w:sz w:val="24"/>
                <w:szCs w:val="24"/>
              </w:rPr>
              <w:t xml:space="preserve">Como principales retos tuvimos la </w:t>
            </w:r>
            <w:r w:rsidR="00370A6A">
              <w:rPr>
                <w:sz w:val="24"/>
                <w:szCs w:val="24"/>
              </w:rPr>
              <w:t xml:space="preserve">aprobación del esquema de salud para los Antiguos ETCR, de igual manera se definió la persona que coordinará el UTR a partir del 2022; se aprobó </w:t>
            </w:r>
            <w:r w:rsidR="00370A6A" w:rsidRPr="00965A92">
              <w:rPr>
                <w:sz w:val="24"/>
                <w:szCs w:val="24"/>
              </w:rPr>
              <w:t>la conformación de la mesa étnica con el objetivo de Incorporar el enfoque étnico en los planes, programas, proyectos y actividades propias de la reincorporación</w:t>
            </w:r>
            <w:r w:rsidR="00370A6A">
              <w:rPr>
                <w:sz w:val="24"/>
                <w:szCs w:val="24"/>
              </w:rPr>
              <w:t>.</w:t>
            </w:r>
          </w:p>
          <w:p w14:paraId="15714D10" w14:textId="06D44089" w:rsidR="00370A6A" w:rsidRDefault="00370A6A" w:rsidP="006736BB">
            <w:pPr>
              <w:jc w:val="both"/>
              <w:rPr>
                <w:sz w:val="24"/>
                <w:szCs w:val="24"/>
              </w:rPr>
            </w:pPr>
          </w:p>
          <w:p w14:paraId="2BAF282E" w14:textId="468AB1EA" w:rsidR="005409D3" w:rsidRPr="00920919" w:rsidRDefault="00370A6A" w:rsidP="00ED7FCF">
            <w:pPr>
              <w:jc w:val="both"/>
              <w:rPr>
                <w:color w:val="002060"/>
                <w:sz w:val="28"/>
                <w:szCs w:val="28"/>
              </w:rPr>
            </w:pPr>
            <w:r w:rsidRPr="00965A92">
              <w:rPr>
                <w:sz w:val="24"/>
                <w:szCs w:val="24"/>
              </w:rPr>
              <w:t>En el marco de las sesiones del CNR no se abordaron medidas específicas para a adoptar por la contingencia presentada como resultado de la COVID-19.  Las medidas adoptadas se trabajaron durante el año 2020 y se han ido apropiando por las diferentes mesas técnicas de acuerdo con su competencia en los temas relacionados con la Ruta de reincorporación.</w:t>
            </w:r>
          </w:p>
        </w:tc>
      </w:tr>
    </w:tbl>
    <w:p w14:paraId="7A416CFC" w14:textId="77777777" w:rsidR="00091C4F" w:rsidRPr="00920919" w:rsidRDefault="00091C4F" w:rsidP="00784E2E">
      <w:pPr>
        <w:spacing w:after="0" w:line="240" w:lineRule="auto"/>
        <w:jc w:val="both"/>
        <w:rPr>
          <w:sz w:val="24"/>
          <w:szCs w:val="24"/>
        </w:rPr>
      </w:pPr>
    </w:p>
    <w:p w14:paraId="6C40AF38"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0721F03F" w14:textId="77777777" w:rsidTr="00715628">
        <w:tc>
          <w:tcPr>
            <w:tcW w:w="1696" w:type="dxa"/>
            <w:shd w:val="clear" w:color="auto" w:fill="002060"/>
            <w:vAlign w:val="center"/>
          </w:tcPr>
          <w:p w14:paraId="088ED7A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6AF2FEB2" w14:textId="77777777" w:rsidR="005B2C9D" w:rsidRPr="00561308" w:rsidRDefault="005B2C9D" w:rsidP="00715628">
            <w:pPr>
              <w:jc w:val="both"/>
              <w:rPr>
                <w:rFonts w:cstheme="minorHAnsi"/>
                <w:sz w:val="24"/>
                <w:szCs w:val="24"/>
              </w:rPr>
            </w:pPr>
            <w:r w:rsidRPr="00561308">
              <w:rPr>
                <w:rFonts w:cstheme="minorHAnsi"/>
                <w:sz w:val="24"/>
                <w:szCs w:val="24"/>
              </w:rPr>
              <w:t>Por medio de la cual se dictan disposiciones en materia de vivienda y hábitat.</w:t>
            </w:r>
          </w:p>
        </w:tc>
      </w:tr>
      <w:tr w:rsidR="005B2C9D" w:rsidRPr="00920919" w14:paraId="233E4469" w14:textId="77777777" w:rsidTr="00715628">
        <w:tc>
          <w:tcPr>
            <w:tcW w:w="1696" w:type="dxa"/>
            <w:shd w:val="clear" w:color="auto" w:fill="002060"/>
            <w:vAlign w:val="center"/>
          </w:tcPr>
          <w:p w14:paraId="3C0A64D9" w14:textId="77777777" w:rsidR="005B2C9D" w:rsidRPr="00920919" w:rsidRDefault="005B2C9D" w:rsidP="00715628">
            <w:pPr>
              <w:jc w:val="center"/>
              <w:rPr>
                <w:sz w:val="24"/>
                <w:szCs w:val="24"/>
              </w:rPr>
            </w:pPr>
            <w:r w:rsidRPr="00920919">
              <w:rPr>
                <w:sz w:val="24"/>
                <w:szCs w:val="24"/>
              </w:rPr>
              <w:t>Decreto Ley</w:t>
            </w:r>
          </w:p>
        </w:tc>
        <w:tc>
          <w:tcPr>
            <w:tcW w:w="7132" w:type="dxa"/>
          </w:tcPr>
          <w:p w14:paraId="75CBA901" w14:textId="77777777" w:rsidR="005B2C9D" w:rsidRDefault="005B2C9D" w:rsidP="00715628">
            <w:pPr>
              <w:jc w:val="both"/>
              <w:rPr>
                <w:sz w:val="24"/>
                <w:szCs w:val="24"/>
              </w:rPr>
            </w:pPr>
            <w:r w:rsidRPr="00524D95">
              <w:rPr>
                <w:sz w:val="24"/>
                <w:szCs w:val="24"/>
              </w:rPr>
              <w:t>Ley 2079 del 14 de enero de 2021</w:t>
            </w:r>
          </w:p>
          <w:p w14:paraId="211F72D7" w14:textId="77777777" w:rsidR="005B2C9D" w:rsidRDefault="005B2C9D" w:rsidP="00715628">
            <w:pPr>
              <w:jc w:val="both"/>
              <w:rPr>
                <w:sz w:val="24"/>
                <w:szCs w:val="24"/>
              </w:rPr>
            </w:pPr>
          </w:p>
          <w:p w14:paraId="4E857619" w14:textId="77777777" w:rsidR="005B2C9D" w:rsidRDefault="009D507C" w:rsidP="00715628">
            <w:pPr>
              <w:jc w:val="both"/>
              <w:rPr>
                <w:sz w:val="24"/>
                <w:szCs w:val="24"/>
              </w:rPr>
            </w:pPr>
            <w:hyperlink r:id="rId22" w:anchor=":~:text=Establecer%20mecanismos%20que%20permitan%20reducir,suelo%20urbanizable%20en%20el%20pa%C3%ADs" w:history="1">
              <w:r w:rsidR="005B2C9D" w:rsidRPr="00E73495">
                <w:rPr>
                  <w:rStyle w:val="Hipervnculo"/>
                  <w:sz w:val="24"/>
                  <w:szCs w:val="24"/>
                </w:rPr>
                <w:t>https://www.funcionpublica.gov.co/eva/gestornormativo/norma.php?i=160946#:~:text=Establecer%20mecanismos%20que%20permitan%20reducir,suelo%20urbanizable%20en%20el%20pa%C3%ADs</w:t>
              </w:r>
            </w:hyperlink>
            <w:r w:rsidR="005B2C9D" w:rsidRPr="00524D95">
              <w:rPr>
                <w:sz w:val="24"/>
                <w:szCs w:val="24"/>
              </w:rPr>
              <w:t>.</w:t>
            </w:r>
          </w:p>
          <w:p w14:paraId="71108EAC" w14:textId="77777777" w:rsidR="005B2C9D" w:rsidRPr="00D57328" w:rsidRDefault="005B2C9D" w:rsidP="00715628">
            <w:pPr>
              <w:jc w:val="both"/>
              <w:rPr>
                <w:sz w:val="24"/>
                <w:szCs w:val="24"/>
                <w:highlight w:val="yellow"/>
              </w:rPr>
            </w:pPr>
          </w:p>
        </w:tc>
      </w:tr>
    </w:tbl>
    <w:p w14:paraId="258F733C"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17F68FC3" w14:textId="77777777" w:rsidTr="00715628">
        <w:tc>
          <w:tcPr>
            <w:tcW w:w="1726" w:type="dxa"/>
            <w:tcBorders>
              <w:top w:val="single" w:sz="4" w:space="0" w:color="0070C0"/>
              <w:left w:val="single" w:sz="4" w:space="0" w:color="0070C0"/>
              <w:bottom w:val="single" w:sz="4" w:space="0" w:color="0070C0"/>
            </w:tcBorders>
            <w:vAlign w:val="center"/>
          </w:tcPr>
          <w:p w14:paraId="0B448709" w14:textId="77777777" w:rsidR="005B2C9D" w:rsidRPr="00920919" w:rsidRDefault="005B2C9D" w:rsidP="00715628">
            <w:pPr>
              <w:jc w:val="center"/>
              <w:rPr>
                <w:sz w:val="24"/>
                <w:szCs w:val="24"/>
              </w:rPr>
            </w:pPr>
            <w:r w:rsidRPr="00920919">
              <w:rPr>
                <w:noProof/>
                <w:lang w:eastAsia="es-CO"/>
              </w:rPr>
              <w:drawing>
                <wp:inline distT="0" distB="0" distL="0" distR="0" wp14:anchorId="45FE611D" wp14:editId="4AE060D6">
                  <wp:extent cx="775335" cy="93726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5EFD2D9F" w14:textId="1B238C53" w:rsidR="005B2C9D" w:rsidRDefault="005B2C9D" w:rsidP="00715628">
            <w:pPr>
              <w:jc w:val="both"/>
              <w:rPr>
                <w:color w:val="002060"/>
                <w:sz w:val="28"/>
                <w:szCs w:val="28"/>
              </w:rPr>
            </w:pPr>
            <w:r w:rsidRPr="00920919">
              <w:rPr>
                <w:color w:val="002060"/>
                <w:sz w:val="28"/>
                <w:szCs w:val="28"/>
              </w:rPr>
              <w:t>¿Cómo lo hicimos?</w:t>
            </w:r>
          </w:p>
          <w:p w14:paraId="3DCB0745" w14:textId="77777777" w:rsidR="0097162F" w:rsidRPr="00920919" w:rsidRDefault="0097162F" w:rsidP="00715628">
            <w:pPr>
              <w:jc w:val="both"/>
              <w:rPr>
                <w:color w:val="002060"/>
                <w:sz w:val="28"/>
                <w:szCs w:val="28"/>
              </w:rPr>
            </w:pPr>
          </w:p>
          <w:p w14:paraId="06C0F31F" w14:textId="77777777" w:rsidR="0097162F" w:rsidRPr="0097162F" w:rsidRDefault="0097162F" w:rsidP="0097162F">
            <w:pPr>
              <w:jc w:val="both"/>
              <w:rPr>
                <w:rFonts w:cstheme="minorHAnsi"/>
                <w:sz w:val="24"/>
                <w:szCs w:val="24"/>
                <w:lang w:val="es-419"/>
              </w:rPr>
            </w:pPr>
            <w:r w:rsidRPr="0097162F">
              <w:rPr>
                <w:rFonts w:cstheme="minorHAnsi"/>
                <w:sz w:val="24"/>
                <w:szCs w:val="24"/>
                <w:lang w:val="es-419"/>
              </w:rPr>
              <w:t xml:space="preserve">Se realizaron actividades de incidencia normativa por parte de la Agencia para la Reincorporación y la Normalización </w:t>
            </w:r>
            <w:r w:rsidRPr="0097162F">
              <w:rPr>
                <w:rFonts w:cstheme="minorHAnsi"/>
                <w:sz w:val="24"/>
                <w:szCs w:val="24"/>
              </w:rPr>
              <w:t xml:space="preserve">en conjunto con la Consejería Presidencial para la Estabilización y la Consolidación y el Ministerio de Vivienda, Ciudad y Territorio, que tenían como finalidad incluir en la ponencia para primer debate un artículo donde el Gobierno nacional incluyera  proyectos de vivienda para personas en Proceso de Reincorporación, generando como resultado </w:t>
            </w:r>
            <w:r w:rsidRPr="0097162F">
              <w:rPr>
                <w:rFonts w:cstheme="minorHAnsi"/>
                <w:sz w:val="24"/>
                <w:szCs w:val="24"/>
                <w:lang w:val="es-419"/>
              </w:rPr>
              <w:t>la expedición de la Ley 2079 del 14 de enero de 2021 “P</w:t>
            </w:r>
            <w:r w:rsidRPr="0097162F">
              <w:rPr>
                <w:rFonts w:cstheme="minorHAnsi"/>
                <w:i/>
                <w:sz w:val="24"/>
                <w:szCs w:val="24"/>
                <w:lang w:val="es-419"/>
              </w:rPr>
              <w:t xml:space="preserve">or medio de la cual se dictan disposiciones en materia de vivienda y hábitat”, </w:t>
            </w:r>
            <w:r w:rsidRPr="0097162F">
              <w:rPr>
                <w:rFonts w:cstheme="minorHAnsi"/>
                <w:sz w:val="24"/>
                <w:szCs w:val="24"/>
                <w:lang w:val="es-419"/>
              </w:rPr>
              <w:t xml:space="preserve">logrando que: </w:t>
            </w:r>
          </w:p>
          <w:p w14:paraId="333BB372" w14:textId="77777777" w:rsidR="0097162F" w:rsidRPr="00943AAA" w:rsidRDefault="0097162F" w:rsidP="0097162F">
            <w:pPr>
              <w:jc w:val="both"/>
              <w:rPr>
                <w:rFonts w:cstheme="minorHAnsi"/>
                <w:sz w:val="24"/>
                <w:szCs w:val="24"/>
                <w:lang w:val="es-419"/>
              </w:rPr>
            </w:pPr>
          </w:p>
          <w:p w14:paraId="1ABF77BA" w14:textId="77777777" w:rsidR="0097162F" w:rsidRPr="0097162F" w:rsidRDefault="0097162F" w:rsidP="00631DF4">
            <w:pPr>
              <w:pStyle w:val="Prrafodelista"/>
              <w:numPr>
                <w:ilvl w:val="0"/>
                <w:numId w:val="36"/>
              </w:numPr>
              <w:ind w:left="423"/>
              <w:jc w:val="both"/>
              <w:rPr>
                <w:sz w:val="24"/>
                <w:szCs w:val="24"/>
              </w:rPr>
            </w:pPr>
            <w:r w:rsidRPr="0097162F">
              <w:rPr>
                <w:rFonts w:cstheme="minorHAnsi"/>
                <w:sz w:val="24"/>
                <w:szCs w:val="24"/>
              </w:rPr>
              <w:t xml:space="preserve">En el artículo que establece los criterios para la formulación de la política pública de vivienda rural, se incluyó entre la población beneficiaria a priorizar para acceder a los subsidios de vivienda de interés social rural, a la población a cargo de la ARN. </w:t>
            </w:r>
          </w:p>
          <w:p w14:paraId="639CF882" w14:textId="3E60DD55" w:rsidR="005B2C9D" w:rsidRPr="00920919" w:rsidRDefault="0097162F" w:rsidP="00631DF4">
            <w:pPr>
              <w:pStyle w:val="Prrafodelista"/>
              <w:numPr>
                <w:ilvl w:val="0"/>
                <w:numId w:val="36"/>
              </w:numPr>
              <w:ind w:left="423"/>
              <w:jc w:val="both"/>
              <w:rPr>
                <w:sz w:val="24"/>
                <w:szCs w:val="24"/>
              </w:rPr>
            </w:pPr>
            <w:r w:rsidRPr="00A8766C">
              <w:rPr>
                <w:rFonts w:cstheme="minorHAnsi"/>
                <w:sz w:val="24"/>
                <w:szCs w:val="24"/>
              </w:rPr>
              <w:t>Se adicionó en el texto que el Gobierno nacional debe determinar los proyectos y acciones necesarias para solucionar las necesidades de vivienda requeridas para la consolidación, transformación o reubicación de los antiguos ETCR.</w:t>
            </w:r>
          </w:p>
        </w:tc>
      </w:tr>
      <w:tr w:rsidR="005B2C9D" w:rsidRPr="00920919" w14:paraId="0BE3C62A" w14:textId="77777777" w:rsidTr="00715628">
        <w:tc>
          <w:tcPr>
            <w:tcW w:w="1726" w:type="dxa"/>
            <w:tcBorders>
              <w:top w:val="single" w:sz="4" w:space="0" w:color="0070C0"/>
              <w:left w:val="single" w:sz="4" w:space="0" w:color="0070C0"/>
              <w:bottom w:val="single" w:sz="4" w:space="0" w:color="0070C0"/>
            </w:tcBorders>
            <w:vAlign w:val="center"/>
          </w:tcPr>
          <w:p w14:paraId="68F5DAF8" w14:textId="77777777" w:rsidR="005B2C9D" w:rsidRPr="00920919" w:rsidRDefault="005B2C9D" w:rsidP="00715628">
            <w:pPr>
              <w:jc w:val="center"/>
              <w:rPr>
                <w:sz w:val="24"/>
                <w:szCs w:val="24"/>
              </w:rPr>
            </w:pPr>
            <w:r w:rsidRPr="00920919">
              <w:rPr>
                <w:noProof/>
                <w:lang w:eastAsia="es-CO"/>
              </w:rPr>
              <w:drawing>
                <wp:inline distT="0" distB="0" distL="0" distR="0" wp14:anchorId="1CEFE0A3" wp14:editId="3989A076">
                  <wp:extent cx="925830" cy="8001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3ADE3F99" w14:textId="77777777" w:rsidR="005B2C9D" w:rsidRDefault="005B2C9D" w:rsidP="00715628">
            <w:pPr>
              <w:jc w:val="both"/>
              <w:rPr>
                <w:color w:val="002060"/>
                <w:sz w:val="28"/>
                <w:szCs w:val="28"/>
              </w:rPr>
            </w:pPr>
            <w:r w:rsidRPr="00920919">
              <w:rPr>
                <w:color w:val="002060"/>
                <w:sz w:val="28"/>
                <w:szCs w:val="28"/>
              </w:rPr>
              <w:t>¿Quiénes se beneficiaron?</w:t>
            </w:r>
          </w:p>
          <w:p w14:paraId="171E3F18" w14:textId="77777777" w:rsidR="00144D4F" w:rsidRDefault="00144D4F" w:rsidP="0097162F">
            <w:pPr>
              <w:rPr>
                <w:rFonts w:cstheme="minorHAnsi"/>
                <w:sz w:val="24"/>
                <w:szCs w:val="24"/>
              </w:rPr>
            </w:pPr>
          </w:p>
          <w:p w14:paraId="68186B93" w14:textId="4E07AA54" w:rsidR="005B2C9D" w:rsidRPr="00920919" w:rsidRDefault="0097162F" w:rsidP="0097162F">
            <w:pPr>
              <w:rPr>
                <w:sz w:val="24"/>
                <w:szCs w:val="24"/>
              </w:rPr>
            </w:pPr>
            <w:r>
              <w:rPr>
                <w:rFonts w:cstheme="minorHAnsi"/>
                <w:sz w:val="24"/>
                <w:szCs w:val="24"/>
              </w:rPr>
              <w:t xml:space="preserve">Se beneficiaron los </w:t>
            </w:r>
            <w:r w:rsidRPr="00377266">
              <w:rPr>
                <w:rFonts w:cstheme="minorHAnsi"/>
                <w:sz w:val="24"/>
                <w:szCs w:val="24"/>
              </w:rPr>
              <w:t>exintegrantes de FARC-EP</w:t>
            </w:r>
            <w:r>
              <w:rPr>
                <w:rFonts w:cstheme="minorHAnsi"/>
                <w:sz w:val="24"/>
                <w:szCs w:val="24"/>
              </w:rPr>
              <w:t xml:space="preserve"> en Proceso de Reincorporación y sus familias quienes a partir de las disposiciones incluidas en la Ley 2079 de 2021 podrán acceder a los programas de solución de vivienda que implementa el Ministerio de Vivienda Ciudad y Territorio. </w:t>
            </w:r>
          </w:p>
        </w:tc>
      </w:tr>
      <w:tr w:rsidR="005B2C9D" w:rsidRPr="00920919" w14:paraId="5574FFD1" w14:textId="77777777" w:rsidTr="00715628">
        <w:tc>
          <w:tcPr>
            <w:tcW w:w="1726" w:type="dxa"/>
            <w:tcBorders>
              <w:top w:val="single" w:sz="4" w:space="0" w:color="0070C0"/>
              <w:left w:val="single" w:sz="4" w:space="0" w:color="0070C0"/>
              <w:bottom w:val="single" w:sz="4" w:space="0" w:color="0070C0"/>
            </w:tcBorders>
            <w:vAlign w:val="center"/>
          </w:tcPr>
          <w:p w14:paraId="3C35F1FB" w14:textId="77777777" w:rsidR="005B2C9D" w:rsidRPr="00920919" w:rsidRDefault="005B2C9D" w:rsidP="00715628">
            <w:pPr>
              <w:jc w:val="center"/>
            </w:pPr>
            <w:r w:rsidRPr="00920919">
              <w:rPr>
                <w:noProof/>
                <w:color w:val="3366CC"/>
                <w:lang w:eastAsia="es-CO"/>
              </w:rPr>
              <w:drawing>
                <wp:inline distT="0" distB="0" distL="0" distR="0" wp14:anchorId="6FDDA123" wp14:editId="247BA67D">
                  <wp:extent cx="958850" cy="861695"/>
                  <wp:effectExtent l="0" t="0" r="0" b="0"/>
                  <wp:docPr id="47"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C90F0EA"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3D5BF1CB" w14:textId="77777777" w:rsidR="00365E6D" w:rsidRDefault="00365E6D" w:rsidP="00715628">
            <w:pPr>
              <w:jc w:val="both"/>
              <w:rPr>
                <w:sz w:val="24"/>
                <w:szCs w:val="24"/>
              </w:rPr>
            </w:pPr>
          </w:p>
          <w:p w14:paraId="51E19098" w14:textId="3E3CCB9C" w:rsidR="005B2C9D" w:rsidRPr="0097162F" w:rsidRDefault="00365E6D" w:rsidP="00715628">
            <w:pPr>
              <w:jc w:val="both"/>
              <w:rPr>
                <w:sz w:val="24"/>
                <w:szCs w:val="24"/>
              </w:rPr>
            </w:pPr>
            <w:r w:rsidRPr="00365E6D">
              <w:rPr>
                <w:sz w:val="24"/>
                <w:szCs w:val="24"/>
              </w:rPr>
              <w:t>Encontrar alternativas jurídicas para posibilitar la consolidación de los antiguos ETCR en el ordenamiento territorial de los municipios en donde se encuentran localizados, teniendo en cuenta que sus Planes de Ordenamiento Territorial no contienen la norma urbanística para el desarrollo de proyectos de vivienda nucleada en suelo rural, aplicable a los predios destinados para tal propósito.</w:t>
            </w:r>
          </w:p>
        </w:tc>
      </w:tr>
    </w:tbl>
    <w:p w14:paraId="0486E4A6" w14:textId="77777777" w:rsidR="005B2C9D" w:rsidRPr="00920919" w:rsidRDefault="005B2C9D" w:rsidP="005B2C9D">
      <w:pPr>
        <w:spacing w:after="0" w:line="240" w:lineRule="auto"/>
        <w:jc w:val="both"/>
        <w:rPr>
          <w:sz w:val="24"/>
          <w:szCs w:val="24"/>
        </w:rPr>
      </w:pPr>
    </w:p>
    <w:p w14:paraId="36AEDD1B"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486FFB4C" w14:textId="77777777" w:rsidTr="00715628">
        <w:tc>
          <w:tcPr>
            <w:tcW w:w="1696" w:type="dxa"/>
            <w:shd w:val="clear" w:color="auto" w:fill="002060"/>
            <w:vAlign w:val="center"/>
          </w:tcPr>
          <w:p w14:paraId="6D652A86" w14:textId="77777777" w:rsidR="005B2C9D" w:rsidRPr="00D57328" w:rsidRDefault="005B2C9D" w:rsidP="00715628">
            <w:pPr>
              <w:jc w:val="center"/>
              <w:rPr>
                <w:sz w:val="28"/>
                <w:szCs w:val="28"/>
              </w:rPr>
            </w:pPr>
            <w:r w:rsidRPr="00D57328">
              <w:rPr>
                <w:sz w:val="28"/>
                <w:szCs w:val="28"/>
              </w:rPr>
              <w:lastRenderedPageBreak/>
              <w:t>Compromiso Normativo</w:t>
            </w:r>
          </w:p>
        </w:tc>
        <w:tc>
          <w:tcPr>
            <w:tcW w:w="7132" w:type="dxa"/>
          </w:tcPr>
          <w:p w14:paraId="5D1D4F17" w14:textId="483DEB06" w:rsidR="005B2C9D" w:rsidRPr="00561308" w:rsidRDefault="0097162F" w:rsidP="00715628">
            <w:pPr>
              <w:jc w:val="both"/>
              <w:rPr>
                <w:rFonts w:cstheme="minorHAnsi"/>
                <w:sz w:val="24"/>
                <w:szCs w:val="24"/>
              </w:rPr>
            </w:pPr>
            <w:r w:rsidRPr="00561308">
              <w:rPr>
                <w:rFonts w:cstheme="minorHAnsi"/>
                <w:sz w:val="24"/>
                <w:szCs w:val="24"/>
              </w:rPr>
              <w:t>Por medio de la cual se establecen incentivos para la creación, formalización y fortalecimiento de las micro, pequeñas y medianas empresas lideradas por mujeres y se dictan otras disposiciones - ley creo en ti.</w:t>
            </w:r>
          </w:p>
        </w:tc>
      </w:tr>
      <w:tr w:rsidR="005B2C9D" w:rsidRPr="00920919" w14:paraId="2ADE8C19" w14:textId="77777777" w:rsidTr="00715628">
        <w:tc>
          <w:tcPr>
            <w:tcW w:w="1696" w:type="dxa"/>
            <w:shd w:val="clear" w:color="auto" w:fill="002060"/>
            <w:vAlign w:val="center"/>
          </w:tcPr>
          <w:p w14:paraId="0B087990" w14:textId="77777777" w:rsidR="005B2C9D" w:rsidRPr="00920919" w:rsidRDefault="005B2C9D" w:rsidP="00715628">
            <w:pPr>
              <w:jc w:val="center"/>
              <w:rPr>
                <w:sz w:val="24"/>
                <w:szCs w:val="24"/>
              </w:rPr>
            </w:pPr>
            <w:r w:rsidRPr="00920919">
              <w:rPr>
                <w:sz w:val="24"/>
                <w:szCs w:val="24"/>
              </w:rPr>
              <w:t>Decreto Ley</w:t>
            </w:r>
          </w:p>
        </w:tc>
        <w:tc>
          <w:tcPr>
            <w:tcW w:w="7132" w:type="dxa"/>
          </w:tcPr>
          <w:p w14:paraId="5F2C52D1" w14:textId="00E44B33" w:rsidR="005B2C9D" w:rsidRDefault="005B2C9D" w:rsidP="00715628">
            <w:pPr>
              <w:jc w:val="both"/>
              <w:rPr>
                <w:sz w:val="24"/>
                <w:szCs w:val="24"/>
              </w:rPr>
            </w:pPr>
            <w:r w:rsidRPr="00524D95">
              <w:rPr>
                <w:sz w:val="24"/>
                <w:szCs w:val="24"/>
              </w:rPr>
              <w:t>Ley 2</w:t>
            </w:r>
            <w:r w:rsidR="0097162F">
              <w:rPr>
                <w:sz w:val="24"/>
                <w:szCs w:val="24"/>
              </w:rPr>
              <w:t xml:space="preserve">125 </w:t>
            </w:r>
            <w:r w:rsidRPr="00524D95">
              <w:rPr>
                <w:sz w:val="24"/>
                <w:szCs w:val="24"/>
              </w:rPr>
              <w:t>de 2021</w:t>
            </w:r>
          </w:p>
          <w:p w14:paraId="4271FD08" w14:textId="77777777" w:rsidR="005B2C9D" w:rsidRDefault="005B2C9D" w:rsidP="00715628">
            <w:pPr>
              <w:jc w:val="both"/>
              <w:rPr>
                <w:sz w:val="24"/>
                <w:szCs w:val="24"/>
              </w:rPr>
            </w:pPr>
          </w:p>
          <w:p w14:paraId="1F28CC0B" w14:textId="1B857C81" w:rsidR="005B2C9D" w:rsidRDefault="009D507C" w:rsidP="0097162F">
            <w:pPr>
              <w:jc w:val="both"/>
              <w:rPr>
                <w:sz w:val="24"/>
                <w:szCs w:val="24"/>
              </w:rPr>
            </w:pPr>
            <w:hyperlink r:id="rId23" w:anchor=":~:text=Cr%C3%A9ese%20un%20Premio%20Nacional%2C%20para,medianas%20empresas%20lideradas%20por%20mujeres" w:history="1">
              <w:r w:rsidR="0097162F" w:rsidRPr="00E73495">
                <w:rPr>
                  <w:rStyle w:val="Hipervnculo"/>
                  <w:sz w:val="24"/>
                  <w:szCs w:val="24"/>
                </w:rPr>
                <w:t>https://www.funcionpublica.gov.co/eva/gestornormativo/norma.php?i=168050#:~:text=Cr%C3%A9ese%20un%20Premio%20Nacional%2C%20para,medianas%20empresas%20lideradas%20por%20mujeres</w:t>
              </w:r>
            </w:hyperlink>
            <w:r w:rsidR="0097162F" w:rsidRPr="0097162F">
              <w:rPr>
                <w:sz w:val="24"/>
                <w:szCs w:val="24"/>
              </w:rPr>
              <w:t>.</w:t>
            </w:r>
          </w:p>
          <w:p w14:paraId="1DAA5729" w14:textId="05BF839D" w:rsidR="0097162F" w:rsidRPr="00D57328" w:rsidRDefault="0097162F" w:rsidP="0097162F">
            <w:pPr>
              <w:jc w:val="both"/>
              <w:rPr>
                <w:sz w:val="24"/>
                <w:szCs w:val="24"/>
                <w:highlight w:val="yellow"/>
              </w:rPr>
            </w:pPr>
          </w:p>
        </w:tc>
      </w:tr>
    </w:tbl>
    <w:p w14:paraId="4F4FC562"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1B07B2AD" w14:textId="77777777" w:rsidTr="00715628">
        <w:tc>
          <w:tcPr>
            <w:tcW w:w="1726" w:type="dxa"/>
            <w:tcBorders>
              <w:top w:val="single" w:sz="4" w:space="0" w:color="0070C0"/>
              <w:left w:val="single" w:sz="4" w:space="0" w:color="0070C0"/>
              <w:bottom w:val="single" w:sz="4" w:space="0" w:color="0070C0"/>
            </w:tcBorders>
            <w:vAlign w:val="center"/>
          </w:tcPr>
          <w:p w14:paraId="2F115807" w14:textId="77777777" w:rsidR="005B2C9D" w:rsidRPr="00920919" w:rsidRDefault="005B2C9D" w:rsidP="00715628">
            <w:pPr>
              <w:jc w:val="center"/>
              <w:rPr>
                <w:sz w:val="24"/>
                <w:szCs w:val="24"/>
              </w:rPr>
            </w:pPr>
            <w:r w:rsidRPr="00920919">
              <w:rPr>
                <w:noProof/>
                <w:lang w:eastAsia="es-CO"/>
              </w:rPr>
              <w:drawing>
                <wp:inline distT="0" distB="0" distL="0" distR="0" wp14:anchorId="661A34A3" wp14:editId="16622FDA">
                  <wp:extent cx="775335" cy="93726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76AC714" w14:textId="3B756010" w:rsidR="005B2C9D" w:rsidRDefault="005B2C9D" w:rsidP="00715628">
            <w:pPr>
              <w:jc w:val="both"/>
              <w:rPr>
                <w:color w:val="002060"/>
                <w:sz w:val="28"/>
                <w:szCs w:val="28"/>
              </w:rPr>
            </w:pPr>
            <w:r w:rsidRPr="00920919">
              <w:rPr>
                <w:color w:val="002060"/>
                <w:sz w:val="28"/>
                <w:szCs w:val="28"/>
              </w:rPr>
              <w:t>¿Cómo lo hicimos?</w:t>
            </w:r>
          </w:p>
          <w:p w14:paraId="20F32127" w14:textId="77777777" w:rsidR="00245344" w:rsidRPr="00920919" w:rsidRDefault="00245344" w:rsidP="00715628">
            <w:pPr>
              <w:jc w:val="both"/>
              <w:rPr>
                <w:color w:val="002060"/>
                <w:sz w:val="28"/>
                <w:szCs w:val="28"/>
              </w:rPr>
            </w:pPr>
          </w:p>
          <w:p w14:paraId="67D23240" w14:textId="77777777" w:rsidR="00245344" w:rsidRPr="00245344" w:rsidRDefault="00245344" w:rsidP="00245344">
            <w:pPr>
              <w:jc w:val="both"/>
              <w:rPr>
                <w:sz w:val="24"/>
                <w:szCs w:val="24"/>
              </w:rPr>
            </w:pPr>
            <w:r w:rsidRPr="00245344">
              <w:rPr>
                <w:sz w:val="24"/>
                <w:szCs w:val="24"/>
              </w:rPr>
              <w:t xml:space="preserve">Se realizaron actividades de incidencia normativa por parte de la Agencia para la Reincorporación y la Normalización en conjunto con la Consejería Presidencial para la Estabilización para incluir una proposición que generara incentivos para la creación y fortalecimiento de empresas compuestas por una o varias mujeres  que hacen parte de los procesos que implementa la ARN, generando como resultado la expedición de la Ley 2125 de 4 de agosto de 2021 "Por medio de la cual se establecen incentivos para la creación, formalización y fortalecimiento de las micro, pequeñas y medianas empresas lideradas por mujeres y se dictan otras disposiciones - Ley Creo en Ti”, logrando que: </w:t>
            </w:r>
          </w:p>
          <w:p w14:paraId="05DEBB63" w14:textId="77777777" w:rsidR="00245344" w:rsidRPr="00245344" w:rsidRDefault="00245344" w:rsidP="00245344">
            <w:pPr>
              <w:jc w:val="both"/>
              <w:rPr>
                <w:sz w:val="24"/>
                <w:szCs w:val="24"/>
              </w:rPr>
            </w:pPr>
          </w:p>
          <w:p w14:paraId="191A24EF" w14:textId="6B2311F9" w:rsidR="005B2C9D" w:rsidRPr="00920919" w:rsidRDefault="00245344" w:rsidP="00245344">
            <w:pPr>
              <w:jc w:val="both"/>
              <w:rPr>
                <w:sz w:val="24"/>
                <w:szCs w:val="24"/>
              </w:rPr>
            </w:pPr>
            <w:r w:rsidRPr="00245344">
              <w:rPr>
                <w:sz w:val="24"/>
                <w:szCs w:val="24"/>
              </w:rPr>
              <w:t>Las mujeres que hacen parte de los procesos que implementa la entidad, se beneficiaran de la autorización de uso del signo distintivo (marca de certificación que identifica y genera incentivos para la formalización y el fortalecimiento de las micro, pequeñas y medianas empresas lideradas por mujeres en situación de vulnerabilidad) y demás beneficios que otorga la ley.</w:t>
            </w:r>
          </w:p>
        </w:tc>
      </w:tr>
      <w:tr w:rsidR="005B2C9D" w:rsidRPr="00920919" w14:paraId="33DB8E01" w14:textId="77777777" w:rsidTr="00715628">
        <w:tc>
          <w:tcPr>
            <w:tcW w:w="1726" w:type="dxa"/>
            <w:tcBorders>
              <w:top w:val="single" w:sz="4" w:space="0" w:color="0070C0"/>
              <w:left w:val="single" w:sz="4" w:space="0" w:color="0070C0"/>
              <w:bottom w:val="single" w:sz="4" w:space="0" w:color="0070C0"/>
            </w:tcBorders>
            <w:vAlign w:val="center"/>
          </w:tcPr>
          <w:p w14:paraId="115E6620" w14:textId="77777777" w:rsidR="005B2C9D" w:rsidRPr="00920919" w:rsidRDefault="005B2C9D" w:rsidP="00715628">
            <w:pPr>
              <w:jc w:val="center"/>
              <w:rPr>
                <w:sz w:val="24"/>
                <w:szCs w:val="24"/>
              </w:rPr>
            </w:pPr>
            <w:r w:rsidRPr="00920919">
              <w:rPr>
                <w:noProof/>
                <w:lang w:eastAsia="es-CO"/>
              </w:rPr>
              <w:drawing>
                <wp:inline distT="0" distB="0" distL="0" distR="0" wp14:anchorId="4FD2817B" wp14:editId="59BE29DE">
                  <wp:extent cx="925830" cy="8001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6D8093D8" w14:textId="77777777" w:rsidR="005B2C9D" w:rsidRDefault="005B2C9D" w:rsidP="00715628">
            <w:pPr>
              <w:jc w:val="both"/>
              <w:rPr>
                <w:color w:val="002060"/>
                <w:sz w:val="28"/>
                <w:szCs w:val="28"/>
              </w:rPr>
            </w:pPr>
            <w:r w:rsidRPr="00920919">
              <w:rPr>
                <w:color w:val="002060"/>
                <w:sz w:val="28"/>
                <w:szCs w:val="28"/>
              </w:rPr>
              <w:t>¿Quiénes se beneficiaron?</w:t>
            </w:r>
          </w:p>
          <w:p w14:paraId="2D8CDFCC" w14:textId="77777777" w:rsidR="00245344" w:rsidRDefault="00245344" w:rsidP="00245344">
            <w:pPr>
              <w:jc w:val="both"/>
              <w:rPr>
                <w:rFonts w:cstheme="minorHAnsi"/>
                <w:sz w:val="24"/>
                <w:szCs w:val="24"/>
              </w:rPr>
            </w:pPr>
          </w:p>
          <w:p w14:paraId="152E7F6F" w14:textId="5E66EC87" w:rsidR="005B2C9D" w:rsidRPr="00920919" w:rsidRDefault="00245344" w:rsidP="00245344">
            <w:pPr>
              <w:jc w:val="both"/>
              <w:rPr>
                <w:sz w:val="24"/>
                <w:szCs w:val="24"/>
              </w:rPr>
            </w:pPr>
            <w:r w:rsidRPr="00F91CCC">
              <w:rPr>
                <w:rFonts w:cstheme="minorHAnsi"/>
                <w:sz w:val="24"/>
                <w:szCs w:val="24"/>
              </w:rPr>
              <w:t>Mujeres que ha</w:t>
            </w:r>
            <w:r>
              <w:rPr>
                <w:rFonts w:cstheme="minorHAnsi"/>
                <w:sz w:val="24"/>
                <w:szCs w:val="24"/>
              </w:rPr>
              <w:t>cen</w:t>
            </w:r>
            <w:r w:rsidRPr="00F91CCC">
              <w:rPr>
                <w:rFonts w:cstheme="minorHAnsi"/>
                <w:sz w:val="24"/>
                <w:szCs w:val="24"/>
              </w:rPr>
              <w:t xml:space="preserve"> parte de los procesos que implement</w:t>
            </w:r>
            <w:r>
              <w:rPr>
                <w:rFonts w:cstheme="minorHAnsi"/>
                <w:sz w:val="24"/>
                <w:szCs w:val="24"/>
              </w:rPr>
              <w:t>a</w:t>
            </w:r>
            <w:r w:rsidRPr="00F91CCC">
              <w:rPr>
                <w:rFonts w:cstheme="minorHAnsi"/>
                <w:sz w:val="24"/>
                <w:szCs w:val="24"/>
              </w:rPr>
              <w:t xml:space="preserve"> la Agencia para la Reincorporación y la Normalización (ARN</w:t>
            </w:r>
            <w:r>
              <w:rPr>
                <w:rFonts w:cstheme="minorHAnsi"/>
                <w:sz w:val="24"/>
                <w:szCs w:val="24"/>
              </w:rPr>
              <w:t>) y que desarrollan actividades y proyectos productivos en desarrollo de su tránsito a la vida civil.</w:t>
            </w:r>
          </w:p>
        </w:tc>
      </w:tr>
      <w:tr w:rsidR="005B2C9D" w:rsidRPr="00920919" w14:paraId="638C1350" w14:textId="77777777" w:rsidTr="00715628">
        <w:tc>
          <w:tcPr>
            <w:tcW w:w="1726" w:type="dxa"/>
            <w:tcBorders>
              <w:top w:val="single" w:sz="4" w:space="0" w:color="0070C0"/>
              <w:left w:val="single" w:sz="4" w:space="0" w:color="0070C0"/>
              <w:bottom w:val="single" w:sz="4" w:space="0" w:color="0070C0"/>
            </w:tcBorders>
            <w:vAlign w:val="center"/>
          </w:tcPr>
          <w:p w14:paraId="08E39D8D" w14:textId="77777777" w:rsidR="005B2C9D" w:rsidRPr="00920919" w:rsidRDefault="005B2C9D" w:rsidP="00715628">
            <w:pPr>
              <w:jc w:val="center"/>
            </w:pPr>
            <w:r w:rsidRPr="00920919">
              <w:rPr>
                <w:noProof/>
                <w:color w:val="3366CC"/>
                <w:lang w:eastAsia="es-CO"/>
              </w:rPr>
              <w:drawing>
                <wp:inline distT="0" distB="0" distL="0" distR="0" wp14:anchorId="6F590FD9" wp14:editId="46C1EEBE">
                  <wp:extent cx="958850" cy="861695"/>
                  <wp:effectExtent l="0" t="0" r="0" b="0"/>
                  <wp:docPr id="50"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F1FCDE4"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5EB04EE2" w14:textId="77777777" w:rsidR="00AD2365" w:rsidRDefault="00AD2365" w:rsidP="00752298">
            <w:pPr>
              <w:jc w:val="both"/>
              <w:rPr>
                <w:sz w:val="24"/>
                <w:szCs w:val="24"/>
              </w:rPr>
            </w:pPr>
          </w:p>
          <w:p w14:paraId="16E4DABD" w14:textId="008A8F83" w:rsidR="00752298" w:rsidRDefault="00752298" w:rsidP="00752298">
            <w:pPr>
              <w:jc w:val="both"/>
              <w:rPr>
                <w:sz w:val="24"/>
                <w:szCs w:val="24"/>
              </w:rPr>
            </w:pPr>
            <w:r>
              <w:rPr>
                <w:sz w:val="24"/>
                <w:szCs w:val="24"/>
              </w:rPr>
              <w:t xml:space="preserve">Como reto se tuvo en la vigencia 2021 el proceso de identificación de planes de fortalecimiento de 12 formas asociativas, que permitiera estructurar los incentivos propios del proceso de reincorporación y que estos se articularan con los definidos en la presente ley. Así mismo se </w:t>
            </w:r>
            <w:r>
              <w:rPr>
                <w:sz w:val="24"/>
                <w:szCs w:val="24"/>
              </w:rPr>
              <w:lastRenderedPageBreak/>
              <w:t xml:space="preserve">realizó el proceso de diagnóstico, elaboración de una ruta y prestar el acompañamiento para que las Formas Asociativas lograran hacer parte del régimen tributario Especial. </w:t>
            </w:r>
          </w:p>
          <w:p w14:paraId="64A84EEA" w14:textId="77777777" w:rsidR="00752298" w:rsidRDefault="00752298" w:rsidP="00752298">
            <w:pPr>
              <w:jc w:val="both"/>
              <w:rPr>
                <w:sz w:val="24"/>
                <w:szCs w:val="24"/>
              </w:rPr>
            </w:pPr>
          </w:p>
          <w:p w14:paraId="79F5BE22" w14:textId="0CC9E9EE" w:rsidR="005B2C9D" w:rsidRPr="00920919" w:rsidRDefault="00752298" w:rsidP="00752298">
            <w:pPr>
              <w:jc w:val="both"/>
              <w:rPr>
                <w:color w:val="002060"/>
                <w:sz w:val="28"/>
                <w:szCs w:val="28"/>
              </w:rPr>
            </w:pPr>
            <w:r w:rsidRPr="0079368B">
              <w:rPr>
                <w:sz w:val="24"/>
                <w:szCs w:val="24"/>
              </w:rPr>
              <w:t xml:space="preserve">En el marco de la implementación de la presente ley no se abordaron medidas específicas para a adoptar por la contingencia presentada como resultado de la COVID-19. Las medidas adoptadas para la atención de los proyectos productivos en el marco de la pandemia, se trabajaron durante el año 2020 y se han ido apropiando de acuerdo a cada situación. </w:t>
            </w:r>
          </w:p>
        </w:tc>
      </w:tr>
    </w:tbl>
    <w:p w14:paraId="0FCDD2BC" w14:textId="77777777" w:rsidR="005B2C9D" w:rsidRPr="00920919" w:rsidRDefault="005B2C9D" w:rsidP="005B2C9D">
      <w:pPr>
        <w:spacing w:after="0" w:line="240" w:lineRule="auto"/>
        <w:jc w:val="both"/>
        <w:rPr>
          <w:sz w:val="24"/>
          <w:szCs w:val="24"/>
        </w:rPr>
      </w:pPr>
    </w:p>
    <w:p w14:paraId="18F0D30E"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1A7F6B7F" w14:textId="77777777" w:rsidTr="00715628">
        <w:tc>
          <w:tcPr>
            <w:tcW w:w="1696" w:type="dxa"/>
            <w:shd w:val="clear" w:color="auto" w:fill="002060"/>
            <w:vAlign w:val="center"/>
          </w:tcPr>
          <w:p w14:paraId="69DD865E"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7278AC85" w14:textId="3C32B65B" w:rsidR="005B2C9D" w:rsidRPr="0033345F" w:rsidRDefault="00245344" w:rsidP="00715628">
            <w:pPr>
              <w:jc w:val="both"/>
              <w:rPr>
                <w:rFonts w:cstheme="minorHAnsi"/>
                <w:sz w:val="24"/>
                <w:szCs w:val="24"/>
              </w:rPr>
            </w:pPr>
            <w:r w:rsidRPr="0033345F">
              <w:rPr>
                <w:rFonts w:cstheme="minorHAnsi"/>
                <w:sz w:val="24"/>
                <w:szCs w:val="24"/>
              </w:rPr>
              <w:t xml:space="preserve">Por el cual se adiciona el Decreto 1077 de 2015, Único Reglamentario del Sector Vivienda, Ciudad y Territorio, en </w:t>
            </w:r>
            <w:r w:rsidR="00AD2365" w:rsidRPr="0033345F">
              <w:rPr>
                <w:rFonts w:cstheme="minorHAnsi"/>
                <w:sz w:val="24"/>
                <w:szCs w:val="24"/>
              </w:rPr>
              <w:t>l</w:t>
            </w:r>
            <w:r w:rsidRPr="0033345F">
              <w:rPr>
                <w:rFonts w:cstheme="minorHAnsi"/>
                <w:sz w:val="24"/>
                <w:szCs w:val="24"/>
              </w:rPr>
              <w:t>o relacionado con los proyectos de vivienda y usos complementarios, así como el régimen especial en materia de licencias urbanísticas para los antiguos ETCR.</w:t>
            </w:r>
          </w:p>
        </w:tc>
      </w:tr>
      <w:tr w:rsidR="005B2C9D" w:rsidRPr="00920919" w14:paraId="5BF7413E" w14:textId="77777777" w:rsidTr="00715628">
        <w:tc>
          <w:tcPr>
            <w:tcW w:w="1696" w:type="dxa"/>
            <w:shd w:val="clear" w:color="auto" w:fill="002060"/>
            <w:vAlign w:val="center"/>
          </w:tcPr>
          <w:p w14:paraId="254BA04F" w14:textId="77777777" w:rsidR="005B2C9D" w:rsidRPr="00920919" w:rsidRDefault="005B2C9D" w:rsidP="00715628">
            <w:pPr>
              <w:jc w:val="center"/>
              <w:rPr>
                <w:sz w:val="24"/>
                <w:szCs w:val="24"/>
              </w:rPr>
            </w:pPr>
            <w:r w:rsidRPr="00920919">
              <w:rPr>
                <w:sz w:val="24"/>
                <w:szCs w:val="24"/>
              </w:rPr>
              <w:t>Decreto Ley</w:t>
            </w:r>
          </w:p>
        </w:tc>
        <w:tc>
          <w:tcPr>
            <w:tcW w:w="7132" w:type="dxa"/>
          </w:tcPr>
          <w:p w14:paraId="6151C0E0" w14:textId="70DB2826" w:rsidR="005B2C9D" w:rsidRDefault="00245344" w:rsidP="00715628">
            <w:pPr>
              <w:jc w:val="both"/>
              <w:rPr>
                <w:sz w:val="24"/>
                <w:szCs w:val="24"/>
              </w:rPr>
            </w:pPr>
            <w:r>
              <w:rPr>
                <w:sz w:val="24"/>
                <w:szCs w:val="24"/>
              </w:rPr>
              <w:t xml:space="preserve">Decreto 287 de </w:t>
            </w:r>
            <w:r w:rsidR="005B2C9D" w:rsidRPr="00524D95">
              <w:rPr>
                <w:sz w:val="24"/>
                <w:szCs w:val="24"/>
              </w:rPr>
              <w:t>2021</w:t>
            </w:r>
          </w:p>
          <w:p w14:paraId="18614AD6" w14:textId="77777777" w:rsidR="005B2C9D" w:rsidRDefault="005B2C9D" w:rsidP="00715628">
            <w:pPr>
              <w:jc w:val="both"/>
              <w:rPr>
                <w:sz w:val="24"/>
                <w:szCs w:val="24"/>
              </w:rPr>
            </w:pPr>
          </w:p>
          <w:p w14:paraId="6780B813" w14:textId="77777777" w:rsidR="005B2C9D" w:rsidRDefault="009D507C" w:rsidP="00715628">
            <w:pPr>
              <w:jc w:val="both"/>
              <w:rPr>
                <w:sz w:val="24"/>
                <w:szCs w:val="24"/>
              </w:rPr>
            </w:pPr>
            <w:hyperlink r:id="rId24" w:anchor=":~:text=Establecer%20mecanismos%20que%20permitan%20reducir,suelo%20urbanizable%20en%20el%20pa%C3%ADs" w:history="1">
              <w:r w:rsidR="005B2C9D" w:rsidRPr="00E73495">
                <w:rPr>
                  <w:rStyle w:val="Hipervnculo"/>
                  <w:sz w:val="24"/>
                  <w:szCs w:val="24"/>
                </w:rPr>
                <w:t>https://www.funcionpublica.gov.co/eva/gestornormativo/norma.php?i=160946#:~:text=Establecer%20mecanismos%20que%20permitan%20reducir,suelo%20urbanizable%20en%20el%20pa%C3%ADs</w:t>
              </w:r>
            </w:hyperlink>
            <w:r w:rsidR="005B2C9D" w:rsidRPr="00524D95">
              <w:rPr>
                <w:sz w:val="24"/>
                <w:szCs w:val="24"/>
              </w:rPr>
              <w:t>.</w:t>
            </w:r>
          </w:p>
          <w:p w14:paraId="5022A3EB" w14:textId="77777777" w:rsidR="005B2C9D" w:rsidRPr="00D57328" w:rsidRDefault="005B2C9D" w:rsidP="00715628">
            <w:pPr>
              <w:jc w:val="both"/>
              <w:rPr>
                <w:sz w:val="24"/>
                <w:szCs w:val="24"/>
                <w:highlight w:val="yellow"/>
              </w:rPr>
            </w:pPr>
          </w:p>
        </w:tc>
      </w:tr>
    </w:tbl>
    <w:p w14:paraId="2C34B1CD"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478F83D8" w14:textId="77777777" w:rsidTr="00715628">
        <w:tc>
          <w:tcPr>
            <w:tcW w:w="1726" w:type="dxa"/>
            <w:tcBorders>
              <w:top w:val="single" w:sz="4" w:space="0" w:color="0070C0"/>
              <w:left w:val="single" w:sz="4" w:space="0" w:color="0070C0"/>
              <w:bottom w:val="single" w:sz="4" w:space="0" w:color="0070C0"/>
            </w:tcBorders>
            <w:vAlign w:val="center"/>
          </w:tcPr>
          <w:p w14:paraId="7C95BF8A" w14:textId="77777777" w:rsidR="005B2C9D" w:rsidRPr="00920919" w:rsidRDefault="005B2C9D" w:rsidP="00715628">
            <w:pPr>
              <w:jc w:val="center"/>
              <w:rPr>
                <w:sz w:val="24"/>
                <w:szCs w:val="24"/>
              </w:rPr>
            </w:pPr>
            <w:r w:rsidRPr="00920919">
              <w:rPr>
                <w:noProof/>
                <w:lang w:eastAsia="es-CO"/>
              </w:rPr>
              <w:drawing>
                <wp:inline distT="0" distB="0" distL="0" distR="0" wp14:anchorId="4C2B6122" wp14:editId="373A3449">
                  <wp:extent cx="775335" cy="93726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7E20892" w14:textId="77777777" w:rsidR="005B2C9D" w:rsidRPr="00920919" w:rsidRDefault="005B2C9D" w:rsidP="00715628">
            <w:pPr>
              <w:jc w:val="both"/>
              <w:rPr>
                <w:color w:val="002060"/>
                <w:sz w:val="28"/>
                <w:szCs w:val="28"/>
              </w:rPr>
            </w:pPr>
            <w:r w:rsidRPr="00920919">
              <w:rPr>
                <w:color w:val="002060"/>
                <w:sz w:val="28"/>
                <w:szCs w:val="28"/>
              </w:rPr>
              <w:t>¿Cómo lo hicimos?</w:t>
            </w:r>
          </w:p>
          <w:p w14:paraId="3455FE79" w14:textId="77777777" w:rsidR="00501D1C" w:rsidRDefault="00501D1C" w:rsidP="00245344">
            <w:pPr>
              <w:rPr>
                <w:rFonts w:cstheme="minorHAnsi"/>
                <w:sz w:val="24"/>
                <w:szCs w:val="24"/>
                <w:lang w:val="es-419"/>
              </w:rPr>
            </w:pPr>
          </w:p>
          <w:p w14:paraId="79ABDF49" w14:textId="646FE94C" w:rsidR="00245344" w:rsidRPr="00245344" w:rsidRDefault="00245344" w:rsidP="00245344">
            <w:pPr>
              <w:rPr>
                <w:rFonts w:cstheme="minorHAnsi"/>
                <w:sz w:val="24"/>
                <w:szCs w:val="24"/>
              </w:rPr>
            </w:pPr>
            <w:r w:rsidRPr="00245344">
              <w:rPr>
                <w:rFonts w:cstheme="minorHAnsi"/>
                <w:sz w:val="24"/>
                <w:szCs w:val="24"/>
                <w:lang w:val="es-419"/>
              </w:rPr>
              <w:t xml:space="preserve">Los comentarios de la Agencia para la Reincorporación y la Normalización se remitieron al </w:t>
            </w:r>
            <w:r w:rsidRPr="00245344">
              <w:rPr>
                <w:rFonts w:cstheme="minorHAnsi"/>
                <w:sz w:val="24"/>
                <w:szCs w:val="24"/>
              </w:rPr>
              <w:t>Ministerio de Vivienda Ciudad y Territorio, mediante correo electrónico de fecha 25 de febrero de 2021.</w:t>
            </w:r>
          </w:p>
          <w:p w14:paraId="51A1E2A3" w14:textId="77777777" w:rsidR="00245344" w:rsidRDefault="00245344" w:rsidP="00245344">
            <w:pPr>
              <w:pStyle w:val="Prrafodelista"/>
              <w:rPr>
                <w:rFonts w:cstheme="minorHAnsi"/>
                <w:sz w:val="24"/>
                <w:szCs w:val="24"/>
              </w:rPr>
            </w:pPr>
          </w:p>
          <w:p w14:paraId="4A806F71" w14:textId="77777777" w:rsidR="00245344" w:rsidRPr="00245344" w:rsidRDefault="00245344" w:rsidP="00245344">
            <w:pPr>
              <w:rPr>
                <w:rFonts w:cstheme="minorHAnsi"/>
                <w:sz w:val="24"/>
                <w:szCs w:val="24"/>
              </w:rPr>
            </w:pPr>
            <w:r w:rsidRPr="00245344">
              <w:rPr>
                <w:rFonts w:cstheme="minorHAnsi"/>
                <w:sz w:val="24"/>
                <w:szCs w:val="24"/>
              </w:rPr>
              <w:t>La propuesta tenía como propósito viabilizar la determinación de los proyectos de vivienda y usos complementarios en el Proceso de Reincorporación, en particular establecer los parámetros que permitan adelantar el desarrollo de los proyectos de vivienda en coordinación con el Ministerio de Vivienda Ciudad y Territorio, los entes territoriales y el aporte de la ARN.</w:t>
            </w:r>
          </w:p>
          <w:p w14:paraId="3C400EEE" w14:textId="77777777" w:rsidR="00245344" w:rsidRDefault="00245344" w:rsidP="00245344">
            <w:pPr>
              <w:pStyle w:val="Prrafodelista"/>
              <w:rPr>
                <w:rFonts w:cstheme="minorHAnsi"/>
                <w:sz w:val="24"/>
                <w:szCs w:val="24"/>
              </w:rPr>
            </w:pPr>
          </w:p>
          <w:p w14:paraId="04AEF8E8" w14:textId="4ECF1529" w:rsidR="005B2C9D" w:rsidRPr="00920919" w:rsidRDefault="00245344" w:rsidP="00245344">
            <w:pPr>
              <w:jc w:val="both"/>
              <w:rPr>
                <w:sz w:val="24"/>
                <w:szCs w:val="24"/>
              </w:rPr>
            </w:pPr>
            <w:r w:rsidRPr="00494DFD">
              <w:rPr>
                <w:rFonts w:cstheme="minorHAnsi"/>
                <w:sz w:val="24"/>
                <w:szCs w:val="24"/>
              </w:rPr>
              <w:t>Luego de agotadas las fases de consulta y concertación con las entidades que intervienen en el proceso y de la comunidad e interesados, el proyecto se materializó en el Decreto 287 de 2021</w:t>
            </w:r>
            <w:r>
              <w:rPr>
                <w:rFonts w:cstheme="minorHAnsi"/>
                <w:sz w:val="24"/>
                <w:szCs w:val="24"/>
              </w:rPr>
              <w:t xml:space="preserve"> </w:t>
            </w:r>
            <w:r w:rsidRPr="00494DFD">
              <w:rPr>
                <w:rFonts w:cstheme="minorHAnsi"/>
                <w:bCs/>
                <w:i/>
                <w:sz w:val="24"/>
                <w:szCs w:val="24"/>
              </w:rPr>
              <w:t xml:space="preserve">"Por el cual se adiciona el </w:t>
            </w:r>
            <w:r w:rsidRPr="009038CF">
              <w:rPr>
                <w:rFonts w:cstheme="minorHAnsi"/>
                <w:bCs/>
                <w:i/>
                <w:sz w:val="24"/>
                <w:szCs w:val="24"/>
              </w:rPr>
              <w:t>Decreto </w:t>
            </w:r>
            <w:hyperlink r:id="rId25" w:anchor="1077" w:history="1">
              <w:r w:rsidRPr="009038CF">
                <w:rPr>
                  <w:rStyle w:val="ContenidoCar"/>
                  <w:color w:val="auto"/>
                </w:rPr>
                <w:t>1077 </w:t>
              </w:r>
            </w:hyperlink>
            <w:r w:rsidRPr="009038CF">
              <w:rPr>
                <w:rFonts w:cstheme="minorHAnsi"/>
                <w:bCs/>
                <w:i/>
                <w:sz w:val="24"/>
                <w:szCs w:val="24"/>
              </w:rPr>
              <w:t>de 2015</w:t>
            </w:r>
            <w:r w:rsidRPr="00494DFD">
              <w:rPr>
                <w:rFonts w:cstheme="minorHAnsi"/>
                <w:bCs/>
                <w:i/>
                <w:sz w:val="24"/>
                <w:szCs w:val="24"/>
              </w:rPr>
              <w:t xml:space="preserve">, Único Reglamentario del Sector Vivienda, Ciudad y Territorio, en </w:t>
            </w:r>
            <w:r>
              <w:rPr>
                <w:rFonts w:cstheme="minorHAnsi"/>
                <w:bCs/>
                <w:i/>
                <w:sz w:val="24"/>
                <w:szCs w:val="24"/>
              </w:rPr>
              <w:t>l</w:t>
            </w:r>
            <w:r w:rsidRPr="00494DFD">
              <w:rPr>
                <w:rFonts w:cstheme="minorHAnsi"/>
                <w:bCs/>
                <w:i/>
                <w:sz w:val="24"/>
                <w:szCs w:val="24"/>
              </w:rPr>
              <w:t xml:space="preserve">o relacionado con los proyectos </w:t>
            </w:r>
            <w:r w:rsidRPr="00494DFD">
              <w:rPr>
                <w:rFonts w:cstheme="minorHAnsi"/>
                <w:bCs/>
                <w:i/>
                <w:sz w:val="24"/>
                <w:szCs w:val="24"/>
              </w:rPr>
              <w:lastRenderedPageBreak/>
              <w:t>de vivienda y usos complementarios, así como el régimen especial en materia de licencias urbanísticas para los antiguos ETCR"</w:t>
            </w:r>
            <w:r>
              <w:rPr>
                <w:rFonts w:cstheme="minorHAnsi"/>
                <w:bCs/>
                <w:i/>
                <w:sz w:val="24"/>
                <w:szCs w:val="24"/>
              </w:rPr>
              <w:t>.</w:t>
            </w:r>
          </w:p>
        </w:tc>
      </w:tr>
      <w:tr w:rsidR="005B2C9D" w:rsidRPr="00920919" w14:paraId="238C59A2" w14:textId="77777777" w:rsidTr="00715628">
        <w:tc>
          <w:tcPr>
            <w:tcW w:w="1726" w:type="dxa"/>
            <w:tcBorders>
              <w:top w:val="single" w:sz="4" w:space="0" w:color="0070C0"/>
              <w:left w:val="single" w:sz="4" w:space="0" w:color="0070C0"/>
              <w:bottom w:val="single" w:sz="4" w:space="0" w:color="0070C0"/>
            </w:tcBorders>
            <w:vAlign w:val="center"/>
          </w:tcPr>
          <w:p w14:paraId="67C1CBB6" w14:textId="77777777" w:rsidR="005B2C9D" w:rsidRPr="00920919" w:rsidRDefault="005B2C9D" w:rsidP="00715628">
            <w:pPr>
              <w:jc w:val="center"/>
              <w:rPr>
                <w:sz w:val="24"/>
                <w:szCs w:val="24"/>
              </w:rPr>
            </w:pPr>
            <w:r w:rsidRPr="00920919">
              <w:rPr>
                <w:noProof/>
                <w:lang w:eastAsia="es-CO"/>
              </w:rPr>
              <w:lastRenderedPageBreak/>
              <w:drawing>
                <wp:inline distT="0" distB="0" distL="0" distR="0" wp14:anchorId="4EF4B3AE" wp14:editId="1C9DE7EA">
                  <wp:extent cx="925830" cy="80010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0B0E195" w14:textId="5C9B8A28" w:rsidR="005B2C9D" w:rsidRDefault="005B2C9D" w:rsidP="00715628">
            <w:pPr>
              <w:jc w:val="both"/>
              <w:rPr>
                <w:color w:val="002060"/>
                <w:sz w:val="28"/>
                <w:szCs w:val="28"/>
              </w:rPr>
            </w:pPr>
            <w:r w:rsidRPr="00920919">
              <w:rPr>
                <w:color w:val="002060"/>
                <w:sz w:val="28"/>
                <w:szCs w:val="28"/>
              </w:rPr>
              <w:t>¿Quiénes se beneficiaron?</w:t>
            </w:r>
          </w:p>
          <w:p w14:paraId="561006BB" w14:textId="77777777" w:rsidR="00245344" w:rsidRDefault="00245344" w:rsidP="00715628">
            <w:pPr>
              <w:jc w:val="both"/>
              <w:rPr>
                <w:color w:val="002060"/>
                <w:sz w:val="28"/>
                <w:szCs w:val="28"/>
              </w:rPr>
            </w:pPr>
          </w:p>
          <w:p w14:paraId="0B2EF57C" w14:textId="6C97C331" w:rsidR="005B2C9D" w:rsidRPr="00920919" w:rsidRDefault="00245344" w:rsidP="00245344">
            <w:pPr>
              <w:jc w:val="both"/>
              <w:rPr>
                <w:sz w:val="24"/>
                <w:szCs w:val="24"/>
              </w:rPr>
            </w:pPr>
            <w:r>
              <w:rPr>
                <w:rFonts w:cstheme="minorHAnsi"/>
                <w:sz w:val="24"/>
                <w:szCs w:val="24"/>
              </w:rPr>
              <w:t>Personas en Proceso de Reincorporación</w:t>
            </w:r>
            <w:r w:rsidR="009038CF">
              <w:rPr>
                <w:rFonts w:cstheme="minorHAnsi"/>
                <w:sz w:val="24"/>
                <w:szCs w:val="24"/>
              </w:rPr>
              <w:t xml:space="preserve"> localizadas en antiguos ETCR.</w:t>
            </w:r>
          </w:p>
        </w:tc>
      </w:tr>
      <w:tr w:rsidR="005B2C9D" w:rsidRPr="00920919" w14:paraId="16236531" w14:textId="77777777" w:rsidTr="00715628">
        <w:tc>
          <w:tcPr>
            <w:tcW w:w="1726" w:type="dxa"/>
            <w:tcBorders>
              <w:top w:val="single" w:sz="4" w:space="0" w:color="0070C0"/>
              <w:left w:val="single" w:sz="4" w:space="0" w:color="0070C0"/>
              <w:bottom w:val="single" w:sz="4" w:space="0" w:color="0070C0"/>
            </w:tcBorders>
            <w:vAlign w:val="center"/>
          </w:tcPr>
          <w:p w14:paraId="5A576F8C" w14:textId="77777777" w:rsidR="005B2C9D" w:rsidRPr="00920919" w:rsidRDefault="005B2C9D" w:rsidP="00715628">
            <w:pPr>
              <w:jc w:val="center"/>
            </w:pPr>
            <w:r w:rsidRPr="00920919">
              <w:rPr>
                <w:noProof/>
                <w:color w:val="3366CC"/>
                <w:lang w:eastAsia="es-CO"/>
              </w:rPr>
              <w:drawing>
                <wp:inline distT="0" distB="0" distL="0" distR="0" wp14:anchorId="70D6BD58" wp14:editId="792AC1CA">
                  <wp:extent cx="958850" cy="861695"/>
                  <wp:effectExtent l="0" t="0" r="0" b="0"/>
                  <wp:docPr id="5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675F2393"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594F284C" w14:textId="77777777" w:rsidR="009038CF" w:rsidRDefault="009038CF" w:rsidP="009038CF"/>
          <w:p w14:paraId="66E9104E" w14:textId="63DABB45" w:rsidR="005B2C9D" w:rsidRPr="009038CF" w:rsidRDefault="009038CF" w:rsidP="009038CF">
            <w:r>
              <w:t xml:space="preserve">Encontrar alternativas jurídicas para habilitar la formulación y ejecución de los proyectos de vivienda rural nucleada, sin depender del proceso de actualización de los Planes de Ordenamiento Territorial, responsabilidad de las administraciones municipales, procesos que demandan voluntad política, disponibilidad de recursos y tiempo de al menos 12 meses para su modificación. </w:t>
            </w:r>
          </w:p>
        </w:tc>
      </w:tr>
    </w:tbl>
    <w:p w14:paraId="66EDCF02" w14:textId="77777777" w:rsidR="005B2C9D" w:rsidRPr="00920919" w:rsidRDefault="005B2C9D" w:rsidP="005B2C9D">
      <w:pPr>
        <w:spacing w:after="0" w:line="240" w:lineRule="auto"/>
        <w:jc w:val="both"/>
        <w:rPr>
          <w:sz w:val="24"/>
          <w:szCs w:val="24"/>
        </w:rPr>
      </w:pPr>
    </w:p>
    <w:p w14:paraId="78596714"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02BF6E76" w14:textId="77777777" w:rsidTr="00715628">
        <w:tc>
          <w:tcPr>
            <w:tcW w:w="1696" w:type="dxa"/>
            <w:shd w:val="clear" w:color="auto" w:fill="002060"/>
            <w:vAlign w:val="center"/>
          </w:tcPr>
          <w:p w14:paraId="18D45E7B"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26396409" w14:textId="6EC16CDF" w:rsidR="005B2C9D" w:rsidRPr="00501D1C" w:rsidRDefault="00245344" w:rsidP="00715628">
            <w:pPr>
              <w:jc w:val="both"/>
              <w:rPr>
                <w:rFonts w:cstheme="minorHAnsi"/>
                <w:sz w:val="24"/>
                <w:szCs w:val="24"/>
              </w:rPr>
            </w:pPr>
            <w:r w:rsidRPr="00501D1C">
              <w:rPr>
                <w:rFonts w:cstheme="minorHAnsi"/>
                <w:sz w:val="24"/>
                <w:szCs w:val="24"/>
              </w:rPr>
              <w:t>Por medio del cual se establecen medidas para fortalecer la conciencia educativa para el trabajo en la educación básica secundaria, educación media y educación superior y se dictan otras disposiciones en materia de inserción laboral para jóvenes</w:t>
            </w:r>
          </w:p>
        </w:tc>
      </w:tr>
      <w:tr w:rsidR="005B2C9D" w:rsidRPr="00920919" w14:paraId="064A0773" w14:textId="77777777" w:rsidTr="00715628">
        <w:tc>
          <w:tcPr>
            <w:tcW w:w="1696" w:type="dxa"/>
            <w:shd w:val="clear" w:color="auto" w:fill="002060"/>
            <w:vAlign w:val="center"/>
          </w:tcPr>
          <w:p w14:paraId="04FD5965" w14:textId="77777777" w:rsidR="005B2C9D" w:rsidRPr="00920919" w:rsidRDefault="005B2C9D" w:rsidP="00715628">
            <w:pPr>
              <w:jc w:val="center"/>
              <w:rPr>
                <w:sz w:val="24"/>
                <w:szCs w:val="24"/>
              </w:rPr>
            </w:pPr>
            <w:r w:rsidRPr="00920919">
              <w:rPr>
                <w:sz w:val="24"/>
                <w:szCs w:val="24"/>
              </w:rPr>
              <w:t>Decreto Ley</w:t>
            </w:r>
          </w:p>
        </w:tc>
        <w:tc>
          <w:tcPr>
            <w:tcW w:w="7132" w:type="dxa"/>
          </w:tcPr>
          <w:p w14:paraId="065B37D6" w14:textId="1366C4EE" w:rsidR="005B2C9D" w:rsidRDefault="005B2C9D" w:rsidP="00715628">
            <w:pPr>
              <w:jc w:val="both"/>
              <w:rPr>
                <w:sz w:val="24"/>
                <w:szCs w:val="24"/>
              </w:rPr>
            </w:pPr>
            <w:r w:rsidRPr="00524D95">
              <w:rPr>
                <w:sz w:val="24"/>
                <w:szCs w:val="24"/>
              </w:rPr>
              <w:t>Ley 2</w:t>
            </w:r>
            <w:r w:rsidR="00245344">
              <w:rPr>
                <w:sz w:val="24"/>
                <w:szCs w:val="24"/>
              </w:rPr>
              <w:t>119</w:t>
            </w:r>
            <w:r w:rsidRPr="00524D95">
              <w:rPr>
                <w:sz w:val="24"/>
                <w:szCs w:val="24"/>
              </w:rPr>
              <w:t xml:space="preserve"> de 2021</w:t>
            </w:r>
          </w:p>
          <w:p w14:paraId="7479C36D" w14:textId="77777777" w:rsidR="005B2C9D" w:rsidRDefault="005B2C9D" w:rsidP="00715628">
            <w:pPr>
              <w:jc w:val="both"/>
              <w:rPr>
                <w:sz w:val="24"/>
                <w:szCs w:val="24"/>
              </w:rPr>
            </w:pPr>
          </w:p>
          <w:p w14:paraId="2628CCEB" w14:textId="46FC33B9" w:rsidR="00245344" w:rsidRPr="00245344" w:rsidRDefault="009D507C" w:rsidP="00245344">
            <w:pPr>
              <w:jc w:val="both"/>
              <w:rPr>
                <w:sz w:val="24"/>
                <w:szCs w:val="24"/>
              </w:rPr>
            </w:pPr>
            <w:hyperlink r:id="rId26" w:history="1">
              <w:r w:rsidR="00245344" w:rsidRPr="00E73495">
                <w:rPr>
                  <w:rStyle w:val="Hipervnculo"/>
                  <w:sz w:val="24"/>
                  <w:szCs w:val="24"/>
                </w:rPr>
                <w:t>https://www.funcionpublica.gov.co/eva/gestornormativo/norma.php?i=168027</w:t>
              </w:r>
            </w:hyperlink>
          </w:p>
        </w:tc>
      </w:tr>
    </w:tbl>
    <w:p w14:paraId="36366776"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2708FAC2" w14:textId="77777777" w:rsidTr="00715628">
        <w:tc>
          <w:tcPr>
            <w:tcW w:w="1726" w:type="dxa"/>
            <w:tcBorders>
              <w:top w:val="single" w:sz="4" w:space="0" w:color="0070C0"/>
              <w:left w:val="single" w:sz="4" w:space="0" w:color="0070C0"/>
              <w:bottom w:val="single" w:sz="4" w:space="0" w:color="0070C0"/>
            </w:tcBorders>
            <w:vAlign w:val="center"/>
          </w:tcPr>
          <w:p w14:paraId="602BEFCF" w14:textId="77777777" w:rsidR="005B2C9D" w:rsidRPr="00920919" w:rsidRDefault="005B2C9D" w:rsidP="00715628">
            <w:pPr>
              <w:jc w:val="center"/>
              <w:rPr>
                <w:sz w:val="24"/>
                <w:szCs w:val="24"/>
              </w:rPr>
            </w:pPr>
            <w:r w:rsidRPr="00920919">
              <w:rPr>
                <w:noProof/>
                <w:lang w:eastAsia="es-CO"/>
              </w:rPr>
              <w:drawing>
                <wp:inline distT="0" distB="0" distL="0" distR="0" wp14:anchorId="20F915B4" wp14:editId="0EC26AA4">
                  <wp:extent cx="775335" cy="93726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09BBF27" w14:textId="77777777" w:rsidR="005B2C9D" w:rsidRPr="00920919" w:rsidRDefault="005B2C9D" w:rsidP="00715628">
            <w:pPr>
              <w:jc w:val="both"/>
              <w:rPr>
                <w:color w:val="002060"/>
                <w:sz w:val="28"/>
                <w:szCs w:val="28"/>
              </w:rPr>
            </w:pPr>
            <w:r w:rsidRPr="00920919">
              <w:rPr>
                <w:color w:val="002060"/>
                <w:sz w:val="28"/>
                <w:szCs w:val="28"/>
              </w:rPr>
              <w:t>¿Cómo lo hicimos?</w:t>
            </w:r>
          </w:p>
          <w:p w14:paraId="231DF347" w14:textId="77777777" w:rsidR="00501D1C" w:rsidRDefault="00501D1C" w:rsidP="00245344">
            <w:pPr>
              <w:jc w:val="both"/>
              <w:rPr>
                <w:rFonts w:cstheme="minorHAnsi"/>
                <w:sz w:val="24"/>
                <w:szCs w:val="24"/>
                <w:lang w:val="es-419"/>
              </w:rPr>
            </w:pPr>
          </w:p>
          <w:p w14:paraId="4ABD8067" w14:textId="62103714" w:rsidR="00245344" w:rsidRPr="00245344" w:rsidRDefault="00245344" w:rsidP="00245344">
            <w:pPr>
              <w:jc w:val="both"/>
              <w:rPr>
                <w:rFonts w:cstheme="minorHAnsi"/>
                <w:iCs/>
                <w:sz w:val="24"/>
                <w:szCs w:val="24"/>
              </w:rPr>
            </w:pPr>
            <w:r w:rsidRPr="00245344">
              <w:rPr>
                <w:rFonts w:cstheme="minorHAnsi"/>
                <w:sz w:val="24"/>
                <w:szCs w:val="24"/>
                <w:lang w:val="es-419"/>
              </w:rPr>
              <w:t xml:space="preserve">Se realizaron actividades de incidencia normativa por parte de la Agencia para la Reincorporación y la Normalización </w:t>
            </w:r>
            <w:r w:rsidRPr="00245344">
              <w:rPr>
                <w:rFonts w:cstheme="minorHAnsi"/>
                <w:sz w:val="24"/>
                <w:szCs w:val="24"/>
              </w:rPr>
              <w:t xml:space="preserve">en conjunto con la Consejería Presidencial para la Estabilización y la Consolidación, </w:t>
            </w:r>
            <w:r w:rsidRPr="00245344">
              <w:rPr>
                <w:rFonts w:cstheme="minorHAnsi"/>
                <w:iCs/>
                <w:sz w:val="24"/>
                <w:szCs w:val="24"/>
              </w:rPr>
              <w:t xml:space="preserve">para incluir un artículo relacionado con la Política Pública orientada a Población Vulnerable, para fortalecer la exploración de intereses, talentos y el descubrimiento de aptitudes, de orientación vocacional y laboral en estudiantes de educación básica secundaria y educación media, y entre los grupos en situación de vulnerabilidad se contempla a la población que hace parte de los procesos que implementa la ARN. </w:t>
            </w:r>
          </w:p>
          <w:p w14:paraId="62F3D94A" w14:textId="77777777" w:rsidR="00245344" w:rsidRPr="00780F1B" w:rsidRDefault="00245344" w:rsidP="00245344">
            <w:pPr>
              <w:pStyle w:val="Prrafodelista"/>
              <w:jc w:val="both"/>
              <w:rPr>
                <w:rFonts w:cstheme="minorHAnsi"/>
                <w:iCs/>
                <w:sz w:val="24"/>
                <w:szCs w:val="24"/>
              </w:rPr>
            </w:pPr>
          </w:p>
          <w:p w14:paraId="3FE3DEF9" w14:textId="77777777" w:rsidR="00245344" w:rsidRPr="00245344" w:rsidRDefault="00245344" w:rsidP="00245344">
            <w:pPr>
              <w:jc w:val="both"/>
              <w:rPr>
                <w:rFonts w:cstheme="minorHAnsi"/>
                <w:iCs/>
                <w:sz w:val="24"/>
                <w:szCs w:val="24"/>
                <w:lang w:val="es-419"/>
              </w:rPr>
            </w:pPr>
            <w:r w:rsidRPr="00245344">
              <w:rPr>
                <w:rFonts w:cstheme="minorHAnsi"/>
                <w:iCs/>
                <w:sz w:val="24"/>
                <w:szCs w:val="24"/>
              </w:rPr>
              <w:t xml:space="preserve">De conformidad con lo anterior,  se expidió la </w:t>
            </w:r>
            <w:r w:rsidRPr="00245344">
              <w:rPr>
                <w:rFonts w:cstheme="minorHAnsi"/>
                <w:iCs/>
                <w:sz w:val="24"/>
                <w:szCs w:val="24"/>
                <w:lang w:val="es-419"/>
              </w:rPr>
              <w:t>Ley 2119 de 30 de julio de 2021 "</w:t>
            </w:r>
            <w:r w:rsidRPr="00245344">
              <w:rPr>
                <w:rFonts w:cstheme="minorHAnsi"/>
                <w:i/>
                <w:iCs/>
                <w:sz w:val="24"/>
                <w:szCs w:val="24"/>
                <w:lang w:val="es-419"/>
              </w:rPr>
              <w:t>Por medio del cual se establecen medidas para fortalecer la conciencia educativa para el trabajo en la educación básica secundaria, educación media y educación superior y se dictan otras disposiciones en materia de inserción laboral para jóvenes</w:t>
            </w:r>
            <w:r w:rsidRPr="00245344">
              <w:rPr>
                <w:rFonts w:cstheme="minorHAnsi"/>
                <w:iCs/>
                <w:sz w:val="24"/>
                <w:szCs w:val="24"/>
                <w:lang w:val="es-419"/>
              </w:rPr>
              <w:t xml:space="preserve">", logrando que:  </w:t>
            </w:r>
          </w:p>
          <w:p w14:paraId="23EDD04C" w14:textId="77777777" w:rsidR="00245344" w:rsidRPr="00780F1B" w:rsidRDefault="00245344" w:rsidP="00245344">
            <w:pPr>
              <w:pStyle w:val="Prrafodelista"/>
              <w:jc w:val="both"/>
              <w:rPr>
                <w:rFonts w:cstheme="minorHAnsi"/>
                <w:iCs/>
                <w:sz w:val="24"/>
                <w:szCs w:val="24"/>
                <w:lang w:val="es-419"/>
              </w:rPr>
            </w:pPr>
          </w:p>
          <w:p w14:paraId="01294356" w14:textId="55936D54" w:rsidR="005B2C9D" w:rsidRPr="00920919" w:rsidRDefault="00245344" w:rsidP="00245344">
            <w:pPr>
              <w:jc w:val="both"/>
              <w:rPr>
                <w:sz w:val="24"/>
                <w:szCs w:val="24"/>
              </w:rPr>
            </w:pPr>
            <w:r w:rsidRPr="00780F1B">
              <w:rPr>
                <w:rFonts w:cstheme="minorHAnsi"/>
                <w:iCs/>
                <w:sz w:val="24"/>
                <w:szCs w:val="24"/>
                <w:lang w:val="es-419"/>
              </w:rPr>
              <w:lastRenderedPageBreak/>
              <w:t>Se incluyera a la población que hace parte de los procesos que implementa la entidad, quienes se beneficiarán de una Estrategia de orientación socio ocupacional y laboral para estudiantes pertenecientes a Población Vulnerable, que deberá formular y reglamentar el Gobierno nacional en un plazo máximo de un año contado a partir de la promulgación de esta ley.</w:t>
            </w:r>
          </w:p>
        </w:tc>
      </w:tr>
      <w:tr w:rsidR="005B2C9D" w:rsidRPr="00920919" w14:paraId="361EB22D" w14:textId="77777777" w:rsidTr="00715628">
        <w:tc>
          <w:tcPr>
            <w:tcW w:w="1726" w:type="dxa"/>
            <w:tcBorders>
              <w:top w:val="single" w:sz="4" w:space="0" w:color="0070C0"/>
              <w:left w:val="single" w:sz="4" w:space="0" w:color="0070C0"/>
              <w:bottom w:val="single" w:sz="4" w:space="0" w:color="0070C0"/>
            </w:tcBorders>
            <w:vAlign w:val="center"/>
          </w:tcPr>
          <w:p w14:paraId="1E88A704" w14:textId="77777777" w:rsidR="005B2C9D" w:rsidRPr="00920919" w:rsidRDefault="005B2C9D" w:rsidP="00715628">
            <w:pPr>
              <w:jc w:val="center"/>
              <w:rPr>
                <w:sz w:val="24"/>
                <w:szCs w:val="24"/>
              </w:rPr>
            </w:pPr>
            <w:r w:rsidRPr="00920919">
              <w:rPr>
                <w:noProof/>
                <w:lang w:eastAsia="es-CO"/>
              </w:rPr>
              <w:lastRenderedPageBreak/>
              <w:drawing>
                <wp:inline distT="0" distB="0" distL="0" distR="0" wp14:anchorId="5381DDA9" wp14:editId="38216C32">
                  <wp:extent cx="925830" cy="8001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7B7C0ED1" w14:textId="77777777" w:rsidR="005B2C9D" w:rsidRDefault="005B2C9D" w:rsidP="00715628">
            <w:pPr>
              <w:jc w:val="both"/>
              <w:rPr>
                <w:color w:val="002060"/>
                <w:sz w:val="28"/>
                <w:szCs w:val="28"/>
              </w:rPr>
            </w:pPr>
            <w:r w:rsidRPr="00920919">
              <w:rPr>
                <w:color w:val="002060"/>
                <w:sz w:val="28"/>
                <w:szCs w:val="28"/>
              </w:rPr>
              <w:t>¿Quiénes se beneficiaron?</w:t>
            </w:r>
          </w:p>
          <w:p w14:paraId="42B63E8B" w14:textId="77777777" w:rsidR="00245344" w:rsidRDefault="00245344" w:rsidP="00245344">
            <w:pPr>
              <w:rPr>
                <w:rFonts w:cstheme="minorHAnsi"/>
                <w:sz w:val="24"/>
                <w:szCs w:val="24"/>
              </w:rPr>
            </w:pPr>
          </w:p>
          <w:p w14:paraId="4A082921" w14:textId="4BE05B63" w:rsidR="005B2C9D" w:rsidRPr="00920919" w:rsidRDefault="00245344" w:rsidP="00245344">
            <w:pPr>
              <w:rPr>
                <w:sz w:val="24"/>
                <w:szCs w:val="24"/>
              </w:rPr>
            </w:pPr>
            <w:r>
              <w:rPr>
                <w:rFonts w:cstheme="minorHAnsi"/>
                <w:sz w:val="24"/>
                <w:szCs w:val="24"/>
              </w:rPr>
              <w:t>Las personas que h</w:t>
            </w:r>
            <w:r w:rsidRPr="00ED7812">
              <w:rPr>
                <w:rFonts w:cstheme="minorHAnsi"/>
                <w:sz w:val="24"/>
                <w:szCs w:val="24"/>
              </w:rPr>
              <w:t>a</w:t>
            </w:r>
            <w:r>
              <w:rPr>
                <w:rFonts w:cstheme="minorHAnsi"/>
                <w:sz w:val="24"/>
                <w:szCs w:val="24"/>
              </w:rPr>
              <w:t>cen parte</w:t>
            </w:r>
            <w:r w:rsidRPr="00ED7812">
              <w:rPr>
                <w:rFonts w:cstheme="minorHAnsi"/>
                <w:sz w:val="24"/>
                <w:szCs w:val="24"/>
              </w:rPr>
              <w:t xml:space="preserve"> de los procesos que implementa Ia Agen</w:t>
            </w:r>
            <w:r>
              <w:rPr>
                <w:rFonts w:cstheme="minorHAnsi"/>
                <w:sz w:val="24"/>
                <w:szCs w:val="24"/>
              </w:rPr>
              <w:t xml:space="preserve">cia </w:t>
            </w:r>
            <w:r w:rsidRPr="00ED7812">
              <w:rPr>
                <w:rFonts w:cstheme="minorHAnsi"/>
                <w:sz w:val="24"/>
                <w:szCs w:val="24"/>
              </w:rPr>
              <w:t>para la Reincorporación y la Normalización (ARN)</w:t>
            </w:r>
            <w:r>
              <w:rPr>
                <w:rFonts w:cstheme="minorHAnsi"/>
                <w:sz w:val="24"/>
                <w:szCs w:val="24"/>
              </w:rPr>
              <w:t>.</w:t>
            </w:r>
          </w:p>
        </w:tc>
      </w:tr>
      <w:tr w:rsidR="005B2C9D" w:rsidRPr="00920919" w14:paraId="45A8ECC0" w14:textId="77777777" w:rsidTr="00715628">
        <w:tc>
          <w:tcPr>
            <w:tcW w:w="1726" w:type="dxa"/>
            <w:tcBorders>
              <w:top w:val="single" w:sz="4" w:space="0" w:color="0070C0"/>
              <w:left w:val="single" w:sz="4" w:space="0" w:color="0070C0"/>
              <w:bottom w:val="single" w:sz="4" w:space="0" w:color="0070C0"/>
            </w:tcBorders>
            <w:vAlign w:val="center"/>
          </w:tcPr>
          <w:p w14:paraId="52A6445C" w14:textId="77777777" w:rsidR="005B2C9D" w:rsidRPr="00920919" w:rsidRDefault="005B2C9D" w:rsidP="00715628">
            <w:pPr>
              <w:jc w:val="center"/>
            </w:pPr>
            <w:r w:rsidRPr="00920919">
              <w:rPr>
                <w:noProof/>
                <w:color w:val="3366CC"/>
                <w:lang w:eastAsia="es-CO"/>
              </w:rPr>
              <w:drawing>
                <wp:inline distT="0" distB="0" distL="0" distR="0" wp14:anchorId="75407ECC" wp14:editId="464D40A2">
                  <wp:extent cx="958850" cy="861695"/>
                  <wp:effectExtent l="0" t="0" r="0" b="0"/>
                  <wp:docPr id="5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F99595C"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67691796" w14:textId="77777777" w:rsidR="00501D1C" w:rsidRDefault="00501D1C" w:rsidP="00245344">
            <w:pPr>
              <w:jc w:val="both"/>
              <w:rPr>
                <w:rFonts w:cstheme="minorHAnsi"/>
                <w:iCs/>
                <w:sz w:val="24"/>
                <w:szCs w:val="24"/>
                <w:lang w:val="es-419"/>
              </w:rPr>
            </w:pPr>
          </w:p>
          <w:p w14:paraId="38C7021D" w14:textId="4F0AABAE" w:rsidR="005B2C9D" w:rsidRPr="00920919" w:rsidRDefault="00646501" w:rsidP="00245344">
            <w:pPr>
              <w:jc w:val="both"/>
              <w:rPr>
                <w:color w:val="002060"/>
                <w:sz w:val="28"/>
                <w:szCs w:val="28"/>
              </w:rPr>
            </w:pPr>
            <w:r>
              <w:rPr>
                <w:rFonts w:cstheme="minorHAnsi"/>
                <w:iCs/>
                <w:sz w:val="24"/>
                <w:szCs w:val="24"/>
                <w:lang w:val="es-419"/>
              </w:rPr>
              <w:t>S</w:t>
            </w:r>
            <w:r w:rsidRPr="00D74C28">
              <w:rPr>
                <w:rFonts w:cstheme="minorHAnsi"/>
                <w:iCs/>
                <w:sz w:val="24"/>
                <w:szCs w:val="24"/>
                <w:lang w:val="es-419"/>
              </w:rPr>
              <w:t xml:space="preserve">e encuentra en estructuración de la estrategia para su implementación por parte de las entidades competentes, como lo son el Ministerio de Educación Nacional y el Ministerio del Trabajo, entre otros, por lo cual aún no se presentan avances en el tema. En el momento que se tengan indicaciones se procederá a desarrollar la estrategia planteada según las indicaciones que impartan </w:t>
            </w:r>
            <w:r>
              <w:rPr>
                <w:rFonts w:cstheme="minorHAnsi"/>
                <w:iCs/>
                <w:sz w:val="24"/>
                <w:szCs w:val="24"/>
                <w:lang w:val="es-419"/>
              </w:rPr>
              <w:t>dichas</w:t>
            </w:r>
            <w:r w:rsidRPr="00D74C28">
              <w:rPr>
                <w:rFonts w:cstheme="minorHAnsi"/>
                <w:iCs/>
                <w:sz w:val="24"/>
                <w:szCs w:val="24"/>
                <w:lang w:val="es-419"/>
              </w:rPr>
              <w:t xml:space="preserve"> entidades competentes.</w:t>
            </w:r>
          </w:p>
        </w:tc>
      </w:tr>
    </w:tbl>
    <w:p w14:paraId="7C8F4FE6" w14:textId="77777777" w:rsidR="005B2C9D" w:rsidRPr="00920919" w:rsidRDefault="005B2C9D" w:rsidP="005B2C9D">
      <w:pPr>
        <w:spacing w:after="0" w:line="240" w:lineRule="auto"/>
        <w:jc w:val="both"/>
        <w:rPr>
          <w:sz w:val="24"/>
          <w:szCs w:val="24"/>
        </w:rPr>
      </w:pPr>
    </w:p>
    <w:p w14:paraId="466F85EE"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7F87F1F4" w14:textId="77777777" w:rsidTr="00715628">
        <w:tc>
          <w:tcPr>
            <w:tcW w:w="1696" w:type="dxa"/>
            <w:shd w:val="clear" w:color="auto" w:fill="002060"/>
            <w:vAlign w:val="center"/>
          </w:tcPr>
          <w:p w14:paraId="3F71D38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0CCBBFC0" w14:textId="56D93CBD" w:rsidR="005B2C9D" w:rsidRPr="00D57328" w:rsidRDefault="00C47E1A" w:rsidP="00715628">
            <w:pPr>
              <w:jc w:val="both"/>
              <w:rPr>
                <w:rFonts w:asciiTheme="majorHAnsi" w:hAnsiTheme="majorHAnsi" w:cstheme="majorHAnsi"/>
                <w:sz w:val="24"/>
                <w:szCs w:val="24"/>
              </w:rPr>
            </w:pPr>
            <w:r w:rsidRPr="00C47E1A">
              <w:rPr>
                <w:rFonts w:asciiTheme="majorHAnsi" w:hAnsiTheme="majorHAnsi" w:cstheme="majorHAnsi"/>
                <w:sz w:val="24"/>
                <w:szCs w:val="24"/>
              </w:rPr>
              <w:t>Por medio del cual se modifica y adiciona al Decreto 1071 de 2015, Único Reglamentario del Sector Administrativo Agropecuario, Pesquero y de Desarrollo Rural, lo relacionado con el Fondo de Fomento para las Mujeres Rurales (FOMMUR)</w:t>
            </w:r>
          </w:p>
        </w:tc>
      </w:tr>
      <w:tr w:rsidR="005B2C9D" w:rsidRPr="00920919" w14:paraId="12AD36A7" w14:textId="77777777" w:rsidTr="00715628">
        <w:tc>
          <w:tcPr>
            <w:tcW w:w="1696" w:type="dxa"/>
            <w:shd w:val="clear" w:color="auto" w:fill="002060"/>
            <w:vAlign w:val="center"/>
          </w:tcPr>
          <w:p w14:paraId="1D5A093D" w14:textId="77777777" w:rsidR="005B2C9D" w:rsidRPr="00920919" w:rsidRDefault="005B2C9D" w:rsidP="00715628">
            <w:pPr>
              <w:jc w:val="center"/>
              <w:rPr>
                <w:sz w:val="24"/>
                <w:szCs w:val="24"/>
              </w:rPr>
            </w:pPr>
            <w:r w:rsidRPr="00920919">
              <w:rPr>
                <w:sz w:val="24"/>
                <w:szCs w:val="24"/>
              </w:rPr>
              <w:t>Decreto Ley</w:t>
            </w:r>
          </w:p>
        </w:tc>
        <w:tc>
          <w:tcPr>
            <w:tcW w:w="7132" w:type="dxa"/>
          </w:tcPr>
          <w:p w14:paraId="22213CB5" w14:textId="7BB4DD50" w:rsidR="005B2C9D" w:rsidRDefault="00C47E1A" w:rsidP="00715628">
            <w:pPr>
              <w:jc w:val="both"/>
              <w:rPr>
                <w:sz w:val="24"/>
                <w:szCs w:val="24"/>
              </w:rPr>
            </w:pPr>
            <w:r>
              <w:rPr>
                <w:sz w:val="24"/>
                <w:szCs w:val="24"/>
              </w:rPr>
              <w:t>Decreto 1731</w:t>
            </w:r>
            <w:r w:rsidR="005B2C9D" w:rsidRPr="00524D95">
              <w:rPr>
                <w:sz w:val="24"/>
                <w:szCs w:val="24"/>
              </w:rPr>
              <w:t xml:space="preserve"> de 2021</w:t>
            </w:r>
          </w:p>
          <w:p w14:paraId="212139A5" w14:textId="230349AC" w:rsidR="005B2C9D" w:rsidRPr="00D57328" w:rsidRDefault="009D507C" w:rsidP="00785A72">
            <w:pPr>
              <w:jc w:val="both"/>
              <w:rPr>
                <w:sz w:val="24"/>
                <w:szCs w:val="24"/>
                <w:highlight w:val="yellow"/>
              </w:rPr>
            </w:pPr>
            <w:hyperlink r:id="rId27" w:history="1">
              <w:r w:rsidR="00785A72" w:rsidRPr="00E73495">
                <w:rPr>
                  <w:rStyle w:val="Hipervnculo"/>
                  <w:sz w:val="24"/>
                  <w:szCs w:val="24"/>
                </w:rPr>
                <w:t>https://www.alcaldiabogota.gov.co/sisjur/normas/Norma1.jsp?i=119520</w:t>
              </w:r>
            </w:hyperlink>
            <w:r w:rsidR="00785A72">
              <w:rPr>
                <w:sz w:val="24"/>
                <w:szCs w:val="24"/>
              </w:rPr>
              <w:t xml:space="preserve"> </w:t>
            </w:r>
          </w:p>
        </w:tc>
      </w:tr>
    </w:tbl>
    <w:p w14:paraId="1A1651A1"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5C7928BB" w14:textId="77777777" w:rsidTr="00785A72">
        <w:tc>
          <w:tcPr>
            <w:tcW w:w="1056" w:type="dxa"/>
            <w:tcBorders>
              <w:top w:val="single" w:sz="4" w:space="0" w:color="0070C0"/>
              <w:left w:val="single" w:sz="4" w:space="0" w:color="0070C0"/>
              <w:bottom w:val="single" w:sz="4" w:space="0" w:color="0070C0"/>
            </w:tcBorders>
            <w:vAlign w:val="center"/>
          </w:tcPr>
          <w:p w14:paraId="11099AAF" w14:textId="77777777" w:rsidR="005B2C9D" w:rsidRPr="00920919" w:rsidRDefault="005B2C9D" w:rsidP="00715628">
            <w:pPr>
              <w:jc w:val="center"/>
              <w:rPr>
                <w:sz w:val="24"/>
                <w:szCs w:val="24"/>
              </w:rPr>
            </w:pPr>
            <w:r w:rsidRPr="00920919">
              <w:rPr>
                <w:noProof/>
                <w:lang w:eastAsia="es-CO"/>
              </w:rPr>
              <w:drawing>
                <wp:inline distT="0" distB="0" distL="0" distR="0" wp14:anchorId="0CA46BE6" wp14:editId="1ACC0D54">
                  <wp:extent cx="775335" cy="93726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387FF6CE" w14:textId="77777777" w:rsidR="005B2C9D" w:rsidRPr="00920919" w:rsidRDefault="005B2C9D" w:rsidP="00715628">
            <w:pPr>
              <w:jc w:val="both"/>
              <w:rPr>
                <w:color w:val="002060"/>
                <w:sz w:val="28"/>
                <w:szCs w:val="28"/>
              </w:rPr>
            </w:pPr>
            <w:r w:rsidRPr="00920919">
              <w:rPr>
                <w:color w:val="002060"/>
                <w:sz w:val="28"/>
                <w:szCs w:val="28"/>
              </w:rPr>
              <w:t>¿Cómo lo hicimos?</w:t>
            </w:r>
          </w:p>
          <w:p w14:paraId="00EF5715" w14:textId="77777777" w:rsidR="00B86DB7" w:rsidRDefault="00B86DB7" w:rsidP="00B86DB7">
            <w:pPr>
              <w:jc w:val="both"/>
              <w:rPr>
                <w:rFonts w:cstheme="minorHAnsi"/>
              </w:rPr>
            </w:pPr>
          </w:p>
          <w:p w14:paraId="24369184" w14:textId="1DDEA1BB" w:rsidR="005B2C9D" w:rsidRPr="00920919" w:rsidRDefault="00B86DB7" w:rsidP="00B86DB7">
            <w:pPr>
              <w:jc w:val="both"/>
              <w:rPr>
                <w:sz w:val="24"/>
                <w:szCs w:val="24"/>
              </w:rPr>
            </w:pPr>
            <w:r>
              <w:rPr>
                <w:rFonts w:cstheme="minorHAnsi"/>
              </w:rPr>
              <w:t xml:space="preserve">Esta medida se logra por el impulso que a nivel sectorial se ha dado por la Consejería Presidencial para la Estabilización y la Consolidación como líder sectorial y de apoyo a la gestión para la reincorporación de los exintegrantes de las FARC-EP. A su vez, la ARN ha promovido la adopción de medidas inclusivas y de género que contribuyan por un lado al cumplimiento de los parámetros que en dicha materia fueron definidos en el Acuerdo para el desarrollo del proceso de reincorporación e igualmente los objetivos y metas que han sido establecidos en el documento CONPES 3931 de 2018.   </w:t>
            </w:r>
          </w:p>
        </w:tc>
      </w:tr>
      <w:tr w:rsidR="005B2C9D" w:rsidRPr="00920919" w14:paraId="06AC89A5" w14:textId="77777777" w:rsidTr="00785A72">
        <w:tc>
          <w:tcPr>
            <w:tcW w:w="1056" w:type="dxa"/>
            <w:tcBorders>
              <w:top w:val="single" w:sz="4" w:space="0" w:color="0070C0"/>
              <w:left w:val="single" w:sz="4" w:space="0" w:color="0070C0"/>
              <w:bottom w:val="single" w:sz="4" w:space="0" w:color="0070C0"/>
            </w:tcBorders>
            <w:vAlign w:val="center"/>
          </w:tcPr>
          <w:p w14:paraId="2F1C6381" w14:textId="77777777" w:rsidR="005B2C9D" w:rsidRPr="00920919" w:rsidRDefault="005B2C9D" w:rsidP="00715628">
            <w:pPr>
              <w:jc w:val="center"/>
              <w:rPr>
                <w:sz w:val="24"/>
                <w:szCs w:val="24"/>
              </w:rPr>
            </w:pPr>
            <w:r w:rsidRPr="00920919">
              <w:rPr>
                <w:noProof/>
                <w:lang w:eastAsia="es-CO"/>
              </w:rPr>
              <w:drawing>
                <wp:inline distT="0" distB="0" distL="0" distR="0" wp14:anchorId="212820E4" wp14:editId="1B828859">
                  <wp:extent cx="925830" cy="8001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6F220FF8" w14:textId="77777777" w:rsidR="005B2C9D" w:rsidRDefault="005B2C9D" w:rsidP="00715628">
            <w:pPr>
              <w:jc w:val="both"/>
              <w:rPr>
                <w:color w:val="002060"/>
                <w:sz w:val="28"/>
                <w:szCs w:val="28"/>
              </w:rPr>
            </w:pPr>
            <w:r w:rsidRPr="00920919">
              <w:rPr>
                <w:color w:val="002060"/>
                <w:sz w:val="28"/>
                <w:szCs w:val="28"/>
              </w:rPr>
              <w:t>¿Quiénes se beneficiaron?</w:t>
            </w:r>
          </w:p>
          <w:p w14:paraId="08CBA192" w14:textId="77777777" w:rsidR="005B2C9D" w:rsidRPr="00920919" w:rsidRDefault="005B2C9D" w:rsidP="00715628">
            <w:pPr>
              <w:jc w:val="both"/>
              <w:rPr>
                <w:sz w:val="24"/>
                <w:szCs w:val="24"/>
              </w:rPr>
            </w:pPr>
          </w:p>
          <w:p w14:paraId="1DF0807A" w14:textId="77777777" w:rsidR="00B86DB7" w:rsidRDefault="00B86DB7" w:rsidP="00B86DB7">
            <w:pPr>
              <w:jc w:val="both"/>
              <w:rPr>
                <w:rFonts w:cstheme="minorHAnsi"/>
              </w:rPr>
            </w:pPr>
            <w:r>
              <w:rPr>
                <w:rFonts w:cstheme="minorHAnsi"/>
              </w:rPr>
              <w:t xml:space="preserve">A nivel general el </w:t>
            </w:r>
            <w:r w:rsidRPr="009D52AE">
              <w:rPr>
                <w:rFonts w:cstheme="minorHAnsi"/>
              </w:rPr>
              <w:t xml:space="preserve">Decreto 1731 de 2021 </w:t>
            </w:r>
            <w:r>
              <w:rPr>
                <w:rFonts w:cstheme="minorHAnsi"/>
              </w:rPr>
              <w:t xml:space="preserve">y como tal la creación del </w:t>
            </w:r>
            <w:r w:rsidRPr="009D52AE">
              <w:rPr>
                <w:rFonts w:cstheme="minorHAnsi"/>
              </w:rPr>
              <w:t>Fondo de Fomento para las Mujeres Rurales FOMMUR</w:t>
            </w:r>
            <w:r>
              <w:rPr>
                <w:rFonts w:cstheme="minorHAnsi"/>
              </w:rPr>
              <w:t xml:space="preserve"> beneficia a</w:t>
            </w:r>
            <w:r w:rsidRPr="009D52AE">
              <w:rPr>
                <w:rFonts w:cstheme="minorHAnsi"/>
              </w:rPr>
              <w:t xml:space="preserve"> las mujeres rurales </w:t>
            </w:r>
            <w:r>
              <w:rPr>
                <w:rFonts w:cstheme="minorHAnsi"/>
              </w:rPr>
              <w:lastRenderedPageBreak/>
              <w:t xml:space="preserve">en tanto que se promueve </w:t>
            </w:r>
            <w:r w:rsidRPr="009D52AE">
              <w:rPr>
                <w:rFonts w:cstheme="minorHAnsi"/>
              </w:rPr>
              <w:t>la incorporación y consolidación de las mujeres rurales</w:t>
            </w:r>
            <w:r>
              <w:rPr>
                <w:rFonts w:cstheme="minorHAnsi"/>
              </w:rPr>
              <w:t>.</w:t>
            </w:r>
          </w:p>
          <w:p w14:paraId="2E7D7B46" w14:textId="77777777" w:rsidR="00B86DB7" w:rsidRDefault="00B86DB7" w:rsidP="00B86DB7">
            <w:pPr>
              <w:jc w:val="both"/>
              <w:rPr>
                <w:rFonts w:cstheme="minorHAnsi"/>
              </w:rPr>
            </w:pPr>
          </w:p>
          <w:p w14:paraId="7635BD4F" w14:textId="500776CF" w:rsidR="005B2C9D" w:rsidRPr="00920919" w:rsidRDefault="00B86DB7" w:rsidP="00B86DB7">
            <w:pPr>
              <w:jc w:val="both"/>
              <w:rPr>
                <w:sz w:val="24"/>
                <w:szCs w:val="24"/>
              </w:rPr>
            </w:pPr>
            <w:r>
              <w:rPr>
                <w:rFonts w:cstheme="minorHAnsi"/>
              </w:rPr>
              <w:t>Ahora bien, el Decreto expresamente incluye un enfoque poblacional para la aplicación de las medidas de apoyo y fomento a la mujer rural en la que se incluyen a las mujeres rurales en proceso de reincorporación, propiciando con ello escenarios para impulsar los diversos mecanismos, recursos e iniciativas que se promuevan a nivel de política pública en desarrollo del FOMMUR.</w:t>
            </w:r>
          </w:p>
        </w:tc>
      </w:tr>
      <w:tr w:rsidR="005B2C9D" w:rsidRPr="00920919" w14:paraId="08BDFC47" w14:textId="77777777" w:rsidTr="00785A72">
        <w:tc>
          <w:tcPr>
            <w:tcW w:w="1056" w:type="dxa"/>
            <w:tcBorders>
              <w:top w:val="single" w:sz="4" w:space="0" w:color="0070C0"/>
              <w:left w:val="single" w:sz="4" w:space="0" w:color="0070C0"/>
              <w:bottom w:val="single" w:sz="4" w:space="0" w:color="0070C0"/>
            </w:tcBorders>
            <w:vAlign w:val="center"/>
          </w:tcPr>
          <w:p w14:paraId="242941DB" w14:textId="77777777" w:rsidR="005B2C9D" w:rsidRPr="00920919" w:rsidRDefault="005B2C9D" w:rsidP="00715628">
            <w:pPr>
              <w:jc w:val="center"/>
            </w:pPr>
            <w:r w:rsidRPr="00920919">
              <w:rPr>
                <w:noProof/>
                <w:color w:val="3366CC"/>
                <w:lang w:eastAsia="es-CO"/>
              </w:rPr>
              <w:lastRenderedPageBreak/>
              <w:drawing>
                <wp:inline distT="0" distB="0" distL="0" distR="0" wp14:anchorId="79B576AD" wp14:editId="4196BB77">
                  <wp:extent cx="958850" cy="861695"/>
                  <wp:effectExtent l="0" t="0" r="0" b="0"/>
                  <wp:docPr id="62"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5DD029E6"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7EB1F89D" w14:textId="77777777" w:rsidR="000809A9" w:rsidRDefault="000809A9" w:rsidP="00E82A24">
            <w:pPr>
              <w:jc w:val="both"/>
              <w:rPr>
                <w:rFonts w:cstheme="minorHAnsi"/>
                <w:iCs/>
                <w:sz w:val="24"/>
                <w:szCs w:val="24"/>
                <w:lang w:val="es-419"/>
              </w:rPr>
            </w:pPr>
          </w:p>
          <w:p w14:paraId="3543E53C" w14:textId="4D34D3E6" w:rsidR="005B2C9D" w:rsidRPr="00920919" w:rsidRDefault="00E82A24" w:rsidP="00E82A24">
            <w:pPr>
              <w:jc w:val="both"/>
              <w:rPr>
                <w:color w:val="002060"/>
                <w:sz w:val="28"/>
                <w:szCs w:val="28"/>
              </w:rPr>
            </w:pPr>
            <w:r w:rsidRPr="00D74C28">
              <w:rPr>
                <w:rFonts w:cstheme="minorHAnsi"/>
                <w:iCs/>
                <w:sz w:val="24"/>
                <w:szCs w:val="24"/>
                <w:lang w:val="es-419"/>
              </w:rPr>
              <w:t xml:space="preserve">Actualmente se encuentra en estructuración de la estrategia para su implementación por parte de las entidades competentes, como lo son el Ministerio </w:t>
            </w:r>
            <w:r>
              <w:rPr>
                <w:rFonts w:cstheme="minorHAnsi"/>
                <w:iCs/>
                <w:sz w:val="24"/>
                <w:szCs w:val="24"/>
                <w:lang w:val="es-419"/>
              </w:rPr>
              <w:t>de Agricultura</w:t>
            </w:r>
            <w:r w:rsidRPr="00D74C28">
              <w:rPr>
                <w:rFonts w:cstheme="minorHAnsi"/>
                <w:iCs/>
                <w:sz w:val="24"/>
                <w:szCs w:val="24"/>
                <w:lang w:val="es-419"/>
              </w:rPr>
              <w:t xml:space="preserve">, entre otros, por lo cual aún no se presentan avances en el tema. En el momento que se tengan indicaciones se procederá a desarrollar la estrategia planteada </w:t>
            </w:r>
            <w:r>
              <w:rPr>
                <w:rFonts w:cstheme="minorHAnsi"/>
                <w:iCs/>
                <w:sz w:val="24"/>
                <w:szCs w:val="24"/>
                <w:lang w:val="es-419"/>
              </w:rPr>
              <w:t>de acuerdo a lo impartido por dichas entid</w:t>
            </w:r>
            <w:r w:rsidRPr="00D74C28">
              <w:rPr>
                <w:rFonts w:cstheme="minorHAnsi"/>
                <w:iCs/>
                <w:sz w:val="24"/>
                <w:szCs w:val="24"/>
                <w:lang w:val="es-419"/>
              </w:rPr>
              <w:t>ades competentes.</w:t>
            </w:r>
          </w:p>
        </w:tc>
      </w:tr>
    </w:tbl>
    <w:p w14:paraId="7B83DC39" w14:textId="77777777" w:rsidR="005B2C9D" w:rsidRPr="00920919" w:rsidRDefault="005B2C9D" w:rsidP="005B2C9D">
      <w:pPr>
        <w:spacing w:after="0" w:line="240" w:lineRule="auto"/>
        <w:jc w:val="both"/>
        <w:rPr>
          <w:sz w:val="24"/>
          <w:szCs w:val="24"/>
        </w:rPr>
      </w:pPr>
    </w:p>
    <w:p w14:paraId="4EA29E5E"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18DFA2C4" w14:textId="77777777" w:rsidTr="00715628">
        <w:tc>
          <w:tcPr>
            <w:tcW w:w="1696" w:type="dxa"/>
            <w:shd w:val="clear" w:color="auto" w:fill="002060"/>
            <w:vAlign w:val="center"/>
          </w:tcPr>
          <w:p w14:paraId="4FA269B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24BD9A92" w14:textId="0CBFC7E4" w:rsidR="005B2C9D" w:rsidRPr="00884269" w:rsidRDefault="00B86DB7" w:rsidP="00715628">
            <w:pPr>
              <w:jc w:val="both"/>
              <w:rPr>
                <w:rFonts w:cstheme="minorHAnsi"/>
                <w:sz w:val="24"/>
                <w:szCs w:val="24"/>
              </w:rPr>
            </w:pPr>
            <w:r w:rsidRPr="00884269">
              <w:rPr>
                <w:rFonts w:cstheme="minorHAnsi"/>
                <w:sz w:val="24"/>
                <w:szCs w:val="24"/>
              </w:rPr>
              <w:t>Por la cual se reglamentan los artículos 2.1.10.1.1.1.1.; 2.1.10.1.1.4.3.; 2.1.10.1.1.4.6. y 2.1.10.1.1.5.1 del Título 10 de la Parte 1 del Libro 2 del Decreto 1077 de 2015, en lo referente a las condiciones particulares del Subsidio Familiar de Vivienda Rural aplicable a los ex integrantes de las FARC- EP que se encuentran dentro de la Ruta de Reincorporación y ubicados en los antiguos Espacios Territoriales de Capacitación y Reincorporación (antiguos ETCR).</w:t>
            </w:r>
          </w:p>
        </w:tc>
      </w:tr>
      <w:tr w:rsidR="005B2C9D" w:rsidRPr="00920919" w14:paraId="0B15655F" w14:textId="77777777" w:rsidTr="00715628">
        <w:tc>
          <w:tcPr>
            <w:tcW w:w="1696" w:type="dxa"/>
            <w:shd w:val="clear" w:color="auto" w:fill="002060"/>
            <w:vAlign w:val="center"/>
          </w:tcPr>
          <w:p w14:paraId="5673F6DE" w14:textId="77777777" w:rsidR="005B2C9D" w:rsidRPr="00920919" w:rsidRDefault="005B2C9D" w:rsidP="00715628">
            <w:pPr>
              <w:jc w:val="center"/>
              <w:rPr>
                <w:sz w:val="24"/>
                <w:szCs w:val="24"/>
              </w:rPr>
            </w:pPr>
            <w:r w:rsidRPr="00920919">
              <w:rPr>
                <w:sz w:val="24"/>
                <w:szCs w:val="24"/>
              </w:rPr>
              <w:t>Decreto Ley</w:t>
            </w:r>
          </w:p>
        </w:tc>
        <w:tc>
          <w:tcPr>
            <w:tcW w:w="7132" w:type="dxa"/>
          </w:tcPr>
          <w:p w14:paraId="5DD0189F" w14:textId="40BDF269" w:rsidR="005B2C9D" w:rsidRDefault="00B86DB7" w:rsidP="00715628">
            <w:pPr>
              <w:jc w:val="both"/>
              <w:rPr>
                <w:sz w:val="24"/>
                <w:szCs w:val="24"/>
              </w:rPr>
            </w:pPr>
            <w:r w:rsidRPr="00B86DB7">
              <w:rPr>
                <w:sz w:val="24"/>
                <w:szCs w:val="24"/>
              </w:rPr>
              <w:t>Resolución 0094 de 2021</w:t>
            </w:r>
          </w:p>
          <w:p w14:paraId="52097EC9" w14:textId="5151BA4A" w:rsidR="00E22940" w:rsidRDefault="00E22940" w:rsidP="00715628">
            <w:pPr>
              <w:jc w:val="both"/>
              <w:rPr>
                <w:sz w:val="24"/>
                <w:szCs w:val="24"/>
              </w:rPr>
            </w:pPr>
          </w:p>
          <w:p w14:paraId="1B64F4F0" w14:textId="11628A23" w:rsidR="005B2C9D" w:rsidRPr="00D57328" w:rsidRDefault="009D507C" w:rsidP="00E22940">
            <w:pPr>
              <w:jc w:val="both"/>
              <w:rPr>
                <w:sz w:val="24"/>
                <w:szCs w:val="24"/>
                <w:highlight w:val="yellow"/>
              </w:rPr>
            </w:pPr>
            <w:hyperlink r:id="rId28" w:history="1">
              <w:r w:rsidR="00E22940" w:rsidRPr="00E73495">
                <w:rPr>
                  <w:rStyle w:val="Hipervnculo"/>
                  <w:sz w:val="24"/>
                  <w:szCs w:val="24"/>
                </w:rPr>
                <w:t>https://minvivienda.gov.co/sites/default/files/normativa/resolucion-0094-2021.pdf</w:t>
              </w:r>
            </w:hyperlink>
            <w:r w:rsidR="00E22940">
              <w:rPr>
                <w:sz w:val="24"/>
                <w:szCs w:val="24"/>
              </w:rPr>
              <w:t xml:space="preserve"> </w:t>
            </w:r>
          </w:p>
        </w:tc>
      </w:tr>
    </w:tbl>
    <w:p w14:paraId="4EDE9A3E" w14:textId="77777777" w:rsidR="005B2C9D" w:rsidRPr="00920919" w:rsidRDefault="005B2C9D" w:rsidP="005B2C9D">
      <w:pPr>
        <w:spacing w:after="0" w:line="240" w:lineRule="auto"/>
        <w:jc w:val="both"/>
        <w:rPr>
          <w:sz w:val="24"/>
          <w:szCs w:val="24"/>
        </w:rPr>
      </w:pPr>
    </w:p>
    <w:p w14:paraId="4CD02739"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51534EBF" w14:textId="77777777" w:rsidTr="00715628">
        <w:tc>
          <w:tcPr>
            <w:tcW w:w="1726" w:type="dxa"/>
            <w:tcBorders>
              <w:top w:val="single" w:sz="4" w:space="0" w:color="0070C0"/>
              <w:left w:val="single" w:sz="4" w:space="0" w:color="0070C0"/>
              <w:bottom w:val="single" w:sz="4" w:space="0" w:color="0070C0"/>
            </w:tcBorders>
            <w:vAlign w:val="center"/>
          </w:tcPr>
          <w:p w14:paraId="31FED64B" w14:textId="77777777" w:rsidR="005B2C9D" w:rsidRPr="00920919" w:rsidRDefault="005B2C9D" w:rsidP="00715628">
            <w:pPr>
              <w:jc w:val="center"/>
              <w:rPr>
                <w:sz w:val="24"/>
                <w:szCs w:val="24"/>
              </w:rPr>
            </w:pPr>
            <w:r w:rsidRPr="00920919">
              <w:rPr>
                <w:noProof/>
                <w:lang w:eastAsia="es-CO"/>
              </w:rPr>
              <w:drawing>
                <wp:inline distT="0" distB="0" distL="0" distR="0" wp14:anchorId="04234AD2" wp14:editId="58FA0A18">
                  <wp:extent cx="775335" cy="93726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186FD10B" w14:textId="77777777" w:rsidR="005B2C9D" w:rsidRPr="00920919" w:rsidRDefault="005B2C9D" w:rsidP="00715628">
            <w:pPr>
              <w:jc w:val="both"/>
              <w:rPr>
                <w:color w:val="002060"/>
                <w:sz w:val="28"/>
                <w:szCs w:val="28"/>
              </w:rPr>
            </w:pPr>
            <w:r w:rsidRPr="00920919">
              <w:rPr>
                <w:color w:val="002060"/>
                <w:sz w:val="28"/>
                <w:szCs w:val="28"/>
              </w:rPr>
              <w:t>¿Cómo lo hicimos?</w:t>
            </w:r>
          </w:p>
          <w:p w14:paraId="5E65AF70" w14:textId="77777777" w:rsidR="00E22940" w:rsidRDefault="00E22940" w:rsidP="00E22940">
            <w:pPr>
              <w:jc w:val="both"/>
              <w:rPr>
                <w:rFonts w:cstheme="minorHAnsi"/>
              </w:rPr>
            </w:pPr>
          </w:p>
          <w:p w14:paraId="4D1518C0" w14:textId="5ADCCE0D" w:rsidR="00E22940" w:rsidRPr="00E22940" w:rsidRDefault="00E22940" w:rsidP="00E22940">
            <w:pPr>
              <w:jc w:val="both"/>
              <w:rPr>
                <w:rFonts w:cstheme="minorHAnsi"/>
              </w:rPr>
            </w:pPr>
            <w:r w:rsidRPr="00246251">
              <w:rPr>
                <w:rFonts w:cstheme="minorHAnsi"/>
              </w:rPr>
              <w:t xml:space="preserve">La ARN efectuó un análisis de las necesidades de la población en proceso de reincorporación </w:t>
            </w:r>
            <w:r w:rsidR="000809A9">
              <w:rPr>
                <w:rFonts w:cstheme="minorHAnsi"/>
              </w:rPr>
              <w:t>localizada en los antiguos ETCR</w:t>
            </w:r>
            <w:r w:rsidR="000809A9" w:rsidRPr="00246251">
              <w:rPr>
                <w:rFonts w:cstheme="minorHAnsi"/>
              </w:rPr>
              <w:t xml:space="preserve"> </w:t>
            </w:r>
            <w:r w:rsidRPr="00246251">
              <w:rPr>
                <w:rFonts w:cstheme="minorHAnsi"/>
              </w:rPr>
              <w:t xml:space="preserve">en materia de acceso a vivienda verificando que, en el marco del </w:t>
            </w:r>
            <w:r w:rsidRPr="00E22940">
              <w:rPr>
                <w:rFonts w:cstheme="minorHAnsi"/>
              </w:rPr>
              <w:t xml:space="preserve">componente de Habitabilidad y vivienda, se dispuso en su artículo 13, como parte de la Ruta de Reincorporación, brindar el acompañamiento y efectuar las gestiones necesarias para lograr la promoción de condiciones habitacionales óptimas, acordes con el contexto territorial y la oferta pública disponible. </w:t>
            </w:r>
          </w:p>
          <w:p w14:paraId="3D636A9F" w14:textId="77777777" w:rsidR="00E22940" w:rsidRPr="00246251" w:rsidRDefault="00E22940" w:rsidP="00E22940">
            <w:pPr>
              <w:pStyle w:val="Prrafodelista"/>
              <w:jc w:val="both"/>
              <w:rPr>
                <w:rFonts w:cstheme="minorHAnsi"/>
              </w:rPr>
            </w:pPr>
          </w:p>
          <w:p w14:paraId="4337DE2D" w14:textId="30AE2F6F" w:rsidR="005B2C9D" w:rsidRPr="00920919" w:rsidRDefault="00E22940" w:rsidP="00E22940">
            <w:pPr>
              <w:jc w:val="both"/>
              <w:rPr>
                <w:sz w:val="24"/>
                <w:szCs w:val="24"/>
              </w:rPr>
            </w:pPr>
            <w:r w:rsidRPr="00246251">
              <w:rPr>
                <w:rFonts w:cstheme="minorHAnsi"/>
              </w:rPr>
              <w:t xml:space="preserve">De esta manera teniendo en cuenta que </w:t>
            </w:r>
            <w:r w:rsidR="000809A9">
              <w:rPr>
                <w:rFonts w:cstheme="minorHAnsi"/>
              </w:rPr>
              <w:t>l</w:t>
            </w:r>
            <w:r w:rsidRPr="00246251">
              <w:rPr>
                <w:rFonts w:cstheme="minorHAnsi"/>
              </w:rPr>
              <w:t xml:space="preserve">a Política Nacional de Reincorporación Social y Económica de los exintegrantes de las FARC-EP adoptada mediante el documento CONPES 3931 de </w:t>
            </w:r>
            <w:r w:rsidR="000809A9">
              <w:rPr>
                <w:rFonts w:cstheme="minorHAnsi"/>
              </w:rPr>
              <w:t>2</w:t>
            </w:r>
            <w:r w:rsidRPr="00246251">
              <w:rPr>
                <w:rFonts w:cstheme="minorHAnsi"/>
              </w:rPr>
              <w:t xml:space="preserve">018 propuso ante el Ministerio de Vivienda Ciudad y Territorio una ruta que promoviera </w:t>
            </w:r>
            <w:r w:rsidRPr="00246251">
              <w:rPr>
                <w:rFonts w:cstheme="minorHAnsi"/>
              </w:rPr>
              <w:lastRenderedPageBreak/>
              <w:t>soluciones en materia de habitabilidad y vivienda para las personas en proceso de reincorporación con base en los parámetros establecidos en los artículos 2.1.10.1.1.1.1.; 2.1.10.1.1.4.3.; 2.1.10.1.1.4.6. y 2.1.10.1.1.5.1 del Título 10 de la Parte 1 del Libro 2 del Decreto 1077 de 2015.</w:t>
            </w:r>
          </w:p>
        </w:tc>
      </w:tr>
      <w:tr w:rsidR="005B2C9D" w:rsidRPr="00920919" w14:paraId="0F54FD12" w14:textId="77777777" w:rsidTr="00715628">
        <w:tc>
          <w:tcPr>
            <w:tcW w:w="1726" w:type="dxa"/>
            <w:tcBorders>
              <w:top w:val="single" w:sz="4" w:space="0" w:color="0070C0"/>
              <w:left w:val="single" w:sz="4" w:space="0" w:color="0070C0"/>
              <w:bottom w:val="single" w:sz="4" w:space="0" w:color="0070C0"/>
            </w:tcBorders>
            <w:vAlign w:val="center"/>
          </w:tcPr>
          <w:p w14:paraId="0400CC88" w14:textId="77777777" w:rsidR="005B2C9D" w:rsidRPr="00920919" w:rsidRDefault="005B2C9D" w:rsidP="00715628">
            <w:pPr>
              <w:jc w:val="center"/>
              <w:rPr>
                <w:sz w:val="24"/>
                <w:szCs w:val="24"/>
              </w:rPr>
            </w:pPr>
            <w:r w:rsidRPr="00920919">
              <w:rPr>
                <w:noProof/>
                <w:lang w:eastAsia="es-CO"/>
              </w:rPr>
              <w:lastRenderedPageBreak/>
              <w:drawing>
                <wp:inline distT="0" distB="0" distL="0" distR="0" wp14:anchorId="0B621037" wp14:editId="4C14CB1F">
                  <wp:extent cx="925830" cy="800100"/>
                  <wp:effectExtent l="0" t="0" r="0" b="0"/>
                  <wp:docPr id="14784" name="Imagen 1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2DB33A66" w14:textId="77777777" w:rsidR="005B2C9D" w:rsidRDefault="005B2C9D" w:rsidP="00715628">
            <w:pPr>
              <w:jc w:val="both"/>
              <w:rPr>
                <w:color w:val="002060"/>
                <w:sz w:val="28"/>
                <w:szCs w:val="28"/>
              </w:rPr>
            </w:pPr>
            <w:r w:rsidRPr="00920919">
              <w:rPr>
                <w:color w:val="002060"/>
                <w:sz w:val="28"/>
                <w:szCs w:val="28"/>
              </w:rPr>
              <w:t>¿Quiénes se beneficiaron?</w:t>
            </w:r>
          </w:p>
          <w:p w14:paraId="4FD42F59" w14:textId="311A5284" w:rsidR="005B2C9D" w:rsidRDefault="005B2C9D" w:rsidP="00715628">
            <w:pPr>
              <w:jc w:val="both"/>
              <w:rPr>
                <w:sz w:val="24"/>
                <w:szCs w:val="24"/>
              </w:rPr>
            </w:pPr>
          </w:p>
          <w:p w14:paraId="76E3EAA4" w14:textId="77777777" w:rsidR="00E22940" w:rsidRPr="00E22940" w:rsidRDefault="00E22940" w:rsidP="00E22940">
            <w:pPr>
              <w:jc w:val="both"/>
              <w:rPr>
                <w:rFonts w:cstheme="minorHAnsi"/>
              </w:rPr>
            </w:pPr>
            <w:r w:rsidRPr="00E22940">
              <w:rPr>
                <w:rFonts w:cstheme="minorHAnsi"/>
              </w:rPr>
              <w:t>La Resolución establece las condiciones para que tanto los exintegrantes de las FARC- EP como sus familias logren acceder al subsidio familiar de vivienda rural que puede ser hasta de noventa (90) salarios mínimos legales mensuales vigentes (SMLMV). Para tal efecto, las personas en proceso de reincorporación han de estar ubicados en un antiguo ETCR.</w:t>
            </w:r>
          </w:p>
          <w:p w14:paraId="20AD8E4A" w14:textId="77777777" w:rsidR="00E22940" w:rsidRPr="00246251" w:rsidRDefault="00E22940" w:rsidP="00E22940">
            <w:pPr>
              <w:pStyle w:val="Prrafodelista"/>
              <w:jc w:val="both"/>
              <w:rPr>
                <w:rFonts w:cstheme="minorHAnsi"/>
              </w:rPr>
            </w:pPr>
          </w:p>
          <w:p w14:paraId="3D387856" w14:textId="77777777" w:rsidR="00E22940" w:rsidRPr="0087388C" w:rsidRDefault="00E22940" w:rsidP="00E22940">
            <w:pPr>
              <w:jc w:val="both"/>
            </w:pPr>
            <w:r w:rsidRPr="00E22940">
              <w:rPr>
                <w:rFonts w:cstheme="minorHAnsi"/>
              </w:rPr>
              <w:t>Se destaca que el otorgamiento del Subsidio de Vivienda reglamentado en el referido acto administrativo, podrá aplicarse de manera complementaria y concurrente con beneficios que se otorguen por las entidades territoriales y, en general, por las demás entidades partícipes del Sistema Nacional de Vivienda de Interés Social, siempre y cuando el valor de la vivienda no supere el tope previsto para la vivienda de interés social rural, en cumplimiento de lo dispuesto en el artículo 2.1.10.1.1.4.2 del Decreto 1077 de 2015. Otros aspectos de interés</w:t>
            </w:r>
            <w:r w:rsidRPr="0087388C">
              <w:t xml:space="preserve"> son: </w:t>
            </w:r>
          </w:p>
          <w:p w14:paraId="3A6D51B6" w14:textId="77777777" w:rsidR="00E22940" w:rsidRPr="0087388C" w:rsidRDefault="00E22940" w:rsidP="00E22940">
            <w:pPr>
              <w:pStyle w:val="Contenido"/>
              <w:jc w:val="both"/>
            </w:pPr>
          </w:p>
          <w:p w14:paraId="0EE47E20" w14:textId="77777777" w:rsidR="00E22940" w:rsidRPr="00246251" w:rsidRDefault="00E22940" w:rsidP="00631DF4">
            <w:pPr>
              <w:pStyle w:val="Prrafodelista"/>
              <w:numPr>
                <w:ilvl w:val="0"/>
                <w:numId w:val="37"/>
              </w:numPr>
              <w:ind w:left="565"/>
              <w:jc w:val="both"/>
              <w:rPr>
                <w:rFonts w:cstheme="minorHAnsi"/>
              </w:rPr>
            </w:pPr>
            <w:r w:rsidRPr="00246251">
              <w:rPr>
                <w:rFonts w:cstheme="minorHAnsi"/>
              </w:rPr>
              <w:t>La titularidad de los predios en donde se construirán los proyectos de vivienda puede encontrarse en las cooperativas o cualquier forma asociativa que agrupe a las personas en Ruta de Reincorporación.</w:t>
            </w:r>
          </w:p>
          <w:p w14:paraId="1F0F771E" w14:textId="77777777" w:rsidR="00492721" w:rsidRDefault="00E22940" w:rsidP="00631DF4">
            <w:pPr>
              <w:pStyle w:val="Prrafodelista"/>
              <w:numPr>
                <w:ilvl w:val="0"/>
                <w:numId w:val="37"/>
              </w:numPr>
              <w:ind w:left="565"/>
              <w:jc w:val="both"/>
              <w:rPr>
                <w:rFonts w:cstheme="minorHAnsi"/>
              </w:rPr>
            </w:pPr>
            <w:r w:rsidRPr="00246251">
              <w:rPr>
                <w:rFonts w:cstheme="minorHAnsi"/>
              </w:rPr>
              <w:t>En el otorgamiento del Subsidio concurre la ARN en su rol de entidad líder en cuanto a la implementación de los programas de reincorporación y el Ministerio de Vivienda Ciudad y Territorio.</w:t>
            </w:r>
          </w:p>
          <w:p w14:paraId="19EB5730" w14:textId="77777777" w:rsidR="00492721" w:rsidRDefault="00E22940" w:rsidP="00631DF4">
            <w:pPr>
              <w:pStyle w:val="Prrafodelista"/>
              <w:numPr>
                <w:ilvl w:val="0"/>
                <w:numId w:val="37"/>
              </w:numPr>
              <w:ind w:left="565"/>
              <w:jc w:val="both"/>
              <w:rPr>
                <w:rFonts w:cstheme="minorHAnsi"/>
              </w:rPr>
            </w:pPr>
            <w:r w:rsidRPr="00492721">
              <w:rPr>
                <w:rFonts w:cstheme="minorHAnsi"/>
              </w:rPr>
              <w:t>Las medidas para el acceso al subsidio de vivienda de interés social han sido adoptadas teniendo en cuenta las particularidades y necesidades de la población en proceso de reincorporación.</w:t>
            </w:r>
          </w:p>
          <w:p w14:paraId="3DFF89C4" w14:textId="1E7C1982" w:rsidR="00492721" w:rsidRPr="00492721" w:rsidRDefault="00492721" w:rsidP="00631DF4">
            <w:pPr>
              <w:pStyle w:val="Prrafodelista"/>
              <w:numPr>
                <w:ilvl w:val="0"/>
                <w:numId w:val="37"/>
              </w:numPr>
              <w:ind w:left="565"/>
              <w:jc w:val="both"/>
              <w:rPr>
                <w:rFonts w:cstheme="minorHAnsi"/>
              </w:rPr>
            </w:pPr>
            <w:r w:rsidRPr="00492721">
              <w:rPr>
                <w:rFonts w:cstheme="minorHAnsi"/>
              </w:rPr>
              <w:t>El proceso de asignación del subsidio de vivienda rural se basa en un criterio de priorización poblacional y en la aplicación de un modelo de puntuación que permite seleccionara los beneficiarios.</w:t>
            </w:r>
          </w:p>
        </w:tc>
      </w:tr>
      <w:tr w:rsidR="005B2C9D" w:rsidRPr="00920919" w14:paraId="350485DE" w14:textId="77777777" w:rsidTr="00715628">
        <w:tc>
          <w:tcPr>
            <w:tcW w:w="1726" w:type="dxa"/>
            <w:tcBorders>
              <w:top w:val="single" w:sz="4" w:space="0" w:color="0070C0"/>
              <w:left w:val="single" w:sz="4" w:space="0" w:color="0070C0"/>
              <w:bottom w:val="single" w:sz="4" w:space="0" w:color="0070C0"/>
            </w:tcBorders>
            <w:vAlign w:val="center"/>
          </w:tcPr>
          <w:p w14:paraId="4A7D5F59" w14:textId="77777777" w:rsidR="005B2C9D" w:rsidRPr="00920919" w:rsidRDefault="005B2C9D" w:rsidP="00715628">
            <w:pPr>
              <w:jc w:val="center"/>
            </w:pPr>
            <w:r w:rsidRPr="00920919">
              <w:rPr>
                <w:noProof/>
                <w:color w:val="3366CC"/>
                <w:lang w:eastAsia="es-CO"/>
              </w:rPr>
              <w:drawing>
                <wp:inline distT="0" distB="0" distL="0" distR="0" wp14:anchorId="54C1467E" wp14:editId="15BA2EA3">
                  <wp:extent cx="958850" cy="861695"/>
                  <wp:effectExtent l="0" t="0" r="0" b="0"/>
                  <wp:docPr id="1478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02" w:type="dxa"/>
            <w:tcBorders>
              <w:top w:val="single" w:sz="4" w:space="0" w:color="0070C0"/>
              <w:bottom w:val="single" w:sz="4" w:space="0" w:color="0070C0"/>
              <w:right w:val="single" w:sz="4" w:space="0" w:color="0070C0"/>
            </w:tcBorders>
          </w:tcPr>
          <w:p w14:paraId="46BFC1EF"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51C56A84" w14:textId="77777777" w:rsidR="000809A9" w:rsidRDefault="000809A9" w:rsidP="000809A9"/>
          <w:p w14:paraId="7F58FC13" w14:textId="756228D5" w:rsidR="000809A9" w:rsidRDefault="000809A9" w:rsidP="000809A9">
            <w:r>
              <w:t>Establecer mecanismos particulares para la identificación de personas en reincorporación localizadas en antiguos ETCR, como potenciales beneficiarios a ser remitidos por la ARN al Ministerio de Vivienda, Ciudad y Territorio, para su postulación y posterior asignación del subsidio familiar de vivienda rural.</w:t>
            </w:r>
          </w:p>
          <w:p w14:paraId="13CB6961" w14:textId="77777777" w:rsidR="000809A9" w:rsidRDefault="000809A9" w:rsidP="000809A9"/>
          <w:p w14:paraId="32F325F9" w14:textId="0DFE71D8" w:rsidR="005B2C9D" w:rsidRPr="000809A9" w:rsidRDefault="000809A9" w:rsidP="000809A9">
            <w:r>
              <w:t>Adicionalmente, posibilitar el cierre financiero de los proyectos de vivienda nucleada en suelo rural, incrementando el valor del subsidio familiar de vivienda rural permitiendo la financiación de los componentes de urbanismo y servicios públicos.</w:t>
            </w:r>
          </w:p>
        </w:tc>
      </w:tr>
    </w:tbl>
    <w:p w14:paraId="09906946" w14:textId="77777777" w:rsidR="005B2C9D" w:rsidRPr="00920919" w:rsidRDefault="005B2C9D" w:rsidP="005B2C9D">
      <w:pPr>
        <w:spacing w:after="0" w:line="240" w:lineRule="auto"/>
        <w:jc w:val="both"/>
        <w:rPr>
          <w:sz w:val="24"/>
          <w:szCs w:val="24"/>
        </w:rPr>
      </w:pPr>
    </w:p>
    <w:p w14:paraId="229BD50B" w14:textId="77777777" w:rsidR="005B2C9D" w:rsidRPr="00920919" w:rsidRDefault="005B2C9D" w:rsidP="005B2C9D">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696"/>
        <w:gridCol w:w="7132"/>
      </w:tblGrid>
      <w:tr w:rsidR="005B2C9D" w:rsidRPr="00920919" w14:paraId="3A46D099" w14:textId="77777777" w:rsidTr="00715628">
        <w:tc>
          <w:tcPr>
            <w:tcW w:w="1696" w:type="dxa"/>
            <w:shd w:val="clear" w:color="auto" w:fill="002060"/>
            <w:vAlign w:val="center"/>
          </w:tcPr>
          <w:p w14:paraId="4F48D8D1" w14:textId="77777777" w:rsidR="005B2C9D" w:rsidRPr="00D57328" w:rsidRDefault="005B2C9D" w:rsidP="00715628">
            <w:pPr>
              <w:jc w:val="center"/>
              <w:rPr>
                <w:sz w:val="28"/>
                <w:szCs w:val="28"/>
              </w:rPr>
            </w:pPr>
            <w:r w:rsidRPr="00D57328">
              <w:rPr>
                <w:sz w:val="28"/>
                <w:szCs w:val="28"/>
              </w:rPr>
              <w:t>Compromiso Normativo</w:t>
            </w:r>
          </w:p>
        </w:tc>
        <w:tc>
          <w:tcPr>
            <w:tcW w:w="7132" w:type="dxa"/>
          </w:tcPr>
          <w:p w14:paraId="38B2B141" w14:textId="7E9C2FD8" w:rsidR="005B2C9D" w:rsidRPr="00D57328" w:rsidRDefault="00B44F47" w:rsidP="00715628">
            <w:pPr>
              <w:jc w:val="both"/>
              <w:rPr>
                <w:rFonts w:asciiTheme="majorHAnsi" w:hAnsiTheme="majorHAnsi" w:cstheme="majorHAnsi"/>
                <w:sz w:val="24"/>
                <w:szCs w:val="24"/>
              </w:rPr>
            </w:pPr>
            <w:r w:rsidRPr="00B44F47">
              <w:rPr>
                <w:rFonts w:asciiTheme="majorHAnsi" w:hAnsiTheme="majorHAnsi" w:cstheme="majorHAnsi"/>
                <w:sz w:val="24"/>
                <w:szCs w:val="24"/>
              </w:rPr>
              <w:t>Por la cual se establecen los criterios y requisitos para la asignación de los recursos provenientes del apoyo presupuestario contemplado en el Convenio de financiación No. T06.44 entre la República de Colombia y la Unión Europea, destinados al fortalecimiento de la implementación y la prestación de los servicios de rehabilitación dirigidos a población con discapacidad en proceso de reincorporación</w:t>
            </w:r>
          </w:p>
        </w:tc>
      </w:tr>
      <w:tr w:rsidR="005B2C9D" w:rsidRPr="00920919" w14:paraId="1C6D1889" w14:textId="77777777" w:rsidTr="00715628">
        <w:tc>
          <w:tcPr>
            <w:tcW w:w="1696" w:type="dxa"/>
            <w:shd w:val="clear" w:color="auto" w:fill="002060"/>
            <w:vAlign w:val="center"/>
          </w:tcPr>
          <w:p w14:paraId="49BD4A15" w14:textId="77777777" w:rsidR="005B2C9D" w:rsidRPr="00920919" w:rsidRDefault="005B2C9D" w:rsidP="00715628">
            <w:pPr>
              <w:jc w:val="center"/>
              <w:rPr>
                <w:sz w:val="24"/>
                <w:szCs w:val="24"/>
              </w:rPr>
            </w:pPr>
            <w:r w:rsidRPr="00920919">
              <w:rPr>
                <w:sz w:val="24"/>
                <w:szCs w:val="24"/>
              </w:rPr>
              <w:t>Decreto Ley</w:t>
            </w:r>
          </w:p>
        </w:tc>
        <w:tc>
          <w:tcPr>
            <w:tcW w:w="7132" w:type="dxa"/>
          </w:tcPr>
          <w:p w14:paraId="2DA74C22" w14:textId="0B54C708" w:rsidR="005B2C9D" w:rsidRDefault="00B44F47" w:rsidP="00715628">
            <w:pPr>
              <w:jc w:val="both"/>
              <w:rPr>
                <w:sz w:val="24"/>
                <w:szCs w:val="24"/>
              </w:rPr>
            </w:pPr>
            <w:r w:rsidRPr="00B44F47">
              <w:rPr>
                <w:sz w:val="24"/>
                <w:szCs w:val="24"/>
              </w:rPr>
              <w:t>Resolución 2106 de 2021</w:t>
            </w:r>
          </w:p>
          <w:p w14:paraId="4E642AF0" w14:textId="73D01965" w:rsidR="00B44F47" w:rsidRDefault="00B44F47" w:rsidP="00715628">
            <w:pPr>
              <w:jc w:val="both"/>
              <w:rPr>
                <w:sz w:val="24"/>
                <w:szCs w:val="24"/>
              </w:rPr>
            </w:pPr>
          </w:p>
          <w:p w14:paraId="116B1A3A" w14:textId="2EC16FC0" w:rsidR="00B44F47" w:rsidRDefault="009D507C" w:rsidP="00715628">
            <w:pPr>
              <w:jc w:val="both"/>
              <w:rPr>
                <w:sz w:val="24"/>
                <w:szCs w:val="24"/>
              </w:rPr>
            </w:pPr>
            <w:hyperlink r:id="rId29" w:history="1">
              <w:r w:rsidR="00B44F47" w:rsidRPr="00E73495">
                <w:rPr>
                  <w:rStyle w:val="Hipervnculo"/>
                  <w:sz w:val="24"/>
                  <w:szCs w:val="24"/>
                </w:rPr>
                <w:t>https://www.minsalud.gov.co/Normatividad_Nuevo/Resoluci%C3%B3n%20No.%202106%20del%202021.pdf</w:t>
              </w:r>
            </w:hyperlink>
            <w:r w:rsidR="00B44F47">
              <w:rPr>
                <w:sz w:val="24"/>
                <w:szCs w:val="24"/>
              </w:rPr>
              <w:t xml:space="preserve"> </w:t>
            </w:r>
          </w:p>
          <w:p w14:paraId="29C24210" w14:textId="77777777" w:rsidR="005B2C9D" w:rsidRPr="00D57328" w:rsidRDefault="005B2C9D" w:rsidP="00B44F47">
            <w:pPr>
              <w:jc w:val="both"/>
              <w:rPr>
                <w:sz w:val="24"/>
                <w:szCs w:val="24"/>
                <w:highlight w:val="yellow"/>
              </w:rPr>
            </w:pPr>
          </w:p>
        </w:tc>
      </w:tr>
    </w:tbl>
    <w:p w14:paraId="20530681" w14:textId="77777777" w:rsidR="005B2C9D" w:rsidRPr="00920919" w:rsidRDefault="005B2C9D" w:rsidP="005B2C9D">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5B2C9D" w:rsidRPr="00920919" w14:paraId="60DC0269" w14:textId="77777777" w:rsidTr="00B44F47">
        <w:tc>
          <w:tcPr>
            <w:tcW w:w="1056" w:type="dxa"/>
            <w:tcBorders>
              <w:top w:val="single" w:sz="4" w:space="0" w:color="0070C0"/>
              <w:left w:val="single" w:sz="4" w:space="0" w:color="0070C0"/>
              <w:bottom w:val="single" w:sz="4" w:space="0" w:color="0070C0"/>
            </w:tcBorders>
            <w:vAlign w:val="center"/>
          </w:tcPr>
          <w:p w14:paraId="065EB7F2" w14:textId="77777777" w:rsidR="005B2C9D" w:rsidRPr="00920919" w:rsidRDefault="005B2C9D" w:rsidP="00715628">
            <w:pPr>
              <w:jc w:val="center"/>
              <w:rPr>
                <w:sz w:val="24"/>
                <w:szCs w:val="24"/>
              </w:rPr>
            </w:pPr>
            <w:r w:rsidRPr="00920919">
              <w:rPr>
                <w:noProof/>
                <w:lang w:eastAsia="es-CO"/>
              </w:rPr>
              <w:drawing>
                <wp:inline distT="0" distB="0" distL="0" distR="0" wp14:anchorId="36665E79" wp14:editId="104327CC">
                  <wp:extent cx="775335" cy="937260"/>
                  <wp:effectExtent l="0" t="0" r="0" b="0"/>
                  <wp:docPr id="14786" name="Imagen 14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7AC373F6" w14:textId="77777777" w:rsidR="005B2C9D" w:rsidRPr="00920919" w:rsidRDefault="005B2C9D" w:rsidP="00715628">
            <w:pPr>
              <w:jc w:val="both"/>
              <w:rPr>
                <w:color w:val="002060"/>
                <w:sz w:val="28"/>
                <w:szCs w:val="28"/>
              </w:rPr>
            </w:pPr>
            <w:r w:rsidRPr="00920919">
              <w:rPr>
                <w:color w:val="002060"/>
                <w:sz w:val="28"/>
                <w:szCs w:val="28"/>
              </w:rPr>
              <w:t>¿Cómo lo hicimos?</w:t>
            </w:r>
          </w:p>
          <w:p w14:paraId="465EF8C7" w14:textId="77777777" w:rsidR="00B44F47" w:rsidRDefault="00B44F47" w:rsidP="00B44F47">
            <w:pPr>
              <w:jc w:val="both"/>
              <w:rPr>
                <w:rFonts w:cstheme="minorHAnsi"/>
              </w:rPr>
            </w:pPr>
          </w:p>
          <w:p w14:paraId="66F1AF39" w14:textId="5C51BA25" w:rsidR="005B2C9D" w:rsidRPr="00920919" w:rsidRDefault="00B44F47" w:rsidP="00B44F47">
            <w:pPr>
              <w:jc w:val="both"/>
              <w:rPr>
                <w:sz w:val="24"/>
                <w:szCs w:val="24"/>
              </w:rPr>
            </w:pPr>
            <w:r w:rsidRPr="00246251">
              <w:rPr>
                <w:rFonts w:cstheme="minorHAnsi"/>
              </w:rPr>
              <w:t>En el mes de noviembre de 2021 la ARN hace revisión del proyecto de acto administrativo mediante el cual el Ministerio de Salud establece los criterios para la asignación de los recursos provenientes del apoyo presupuestario contemplado en el Convenio de financiación No</w:t>
            </w:r>
            <w:r w:rsidRPr="0035295B">
              <w:rPr>
                <w:rFonts w:cstheme="minorHAnsi"/>
              </w:rPr>
              <w:t>. T06.44 entre la República de Colombia y la Unión Europea, destinados al fortalecimiento de la implementación y la prestación de los servicios de rehabilitación dirigidos a población en proceso de reincorporación , aspecto que resulta afín con las medidas institucionales que prevé el artículo 17 del Decreto Ley 899 de 2017. Finalmente, el Ministerio de Salud y Protección Social el 14 de diciembre de 2021 expidió la Resolución 2106 de 2021 en cuyo texto define la metodología para la asignación de recursos a las Empresas Sociales del Estado de cara a cubrir las necesidades de la población en condiciones de discapacidad de las personas en proceso de reincorporación. Concretamente los artículo</w:t>
            </w:r>
            <w:r>
              <w:rPr>
                <w:rFonts w:cstheme="minorHAnsi"/>
              </w:rPr>
              <w:t>s</w:t>
            </w:r>
            <w:r w:rsidRPr="0035295B">
              <w:rPr>
                <w:rFonts w:cstheme="minorHAnsi"/>
              </w:rPr>
              <w:t xml:space="preserve"> 4.1. “Criterios habilitantes línea de acción de fortalecimiento a la implementación de los servicios de rehabilitación” y 4.2. “Criterios habilitantes línea de acción de fortalecimiento a la prestación de los servicios de rehabilitación” indican los requisitos que deben cumplir las personas en proceso de reincorporación para participar en cada uno de estos esquemas.</w:t>
            </w:r>
            <w:r w:rsidRPr="00896D3B">
              <w:rPr>
                <w:rFonts w:cstheme="minorHAnsi"/>
                <w:sz w:val="24"/>
                <w:szCs w:val="24"/>
              </w:rPr>
              <w:t xml:space="preserve"> </w:t>
            </w:r>
          </w:p>
        </w:tc>
      </w:tr>
      <w:tr w:rsidR="005B2C9D" w:rsidRPr="00920919" w14:paraId="43856BB8" w14:textId="77777777" w:rsidTr="00B44F47">
        <w:tc>
          <w:tcPr>
            <w:tcW w:w="1056" w:type="dxa"/>
            <w:tcBorders>
              <w:top w:val="single" w:sz="4" w:space="0" w:color="0070C0"/>
              <w:left w:val="single" w:sz="4" w:space="0" w:color="0070C0"/>
              <w:bottom w:val="single" w:sz="4" w:space="0" w:color="0070C0"/>
            </w:tcBorders>
            <w:vAlign w:val="center"/>
          </w:tcPr>
          <w:p w14:paraId="735554C7" w14:textId="77777777" w:rsidR="005B2C9D" w:rsidRPr="00920919" w:rsidRDefault="005B2C9D" w:rsidP="00715628">
            <w:pPr>
              <w:jc w:val="center"/>
              <w:rPr>
                <w:sz w:val="24"/>
                <w:szCs w:val="24"/>
              </w:rPr>
            </w:pPr>
            <w:r w:rsidRPr="00920919">
              <w:rPr>
                <w:noProof/>
                <w:lang w:eastAsia="es-CO"/>
              </w:rPr>
              <w:drawing>
                <wp:inline distT="0" distB="0" distL="0" distR="0" wp14:anchorId="7B5A6D6F" wp14:editId="57254198">
                  <wp:extent cx="925830" cy="800100"/>
                  <wp:effectExtent l="0" t="0" r="0" b="0"/>
                  <wp:docPr id="14787" name="Imagen 1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2BA23FF2" w14:textId="77777777" w:rsidR="005B2C9D" w:rsidRDefault="005B2C9D" w:rsidP="00715628">
            <w:pPr>
              <w:jc w:val="both"/>
              <w:rPr>
                <w:color w:val="002060"/>
                <w:sz w:val="28"/>
                <w:szCs w:val="28"/>
              </w:rPr>
            </w:pPr>
            <w:r w:rsidRPr="00920919">
              <w:rPr>
                <w:color w:val="002060"/>
                <w:sz w:val="28"/>
                <w:szCs w:val="28"/>
              </w:rPr>
              <w:t>¿Quiénes se beneficiaron?</w:t>
            </w:r>
          </w:p>
          <w:p w14:paraId="0A7BDEE4" w14:textId="5986940F" w:rsidR="005B2C9D" w:rsidRDefault="005B2C9D" w:rsidP="00715628">
            <w:pPr>
              <w:jc w:val="both"/>
              <w:rPr>
                <w:sz w:val="24"/>
                <w:szCs w:val="24"/>
              </w:rPr>
            </w:pPr>
          </w:p>
          <w:p w14:paraId="3E6BAAD4" w14:textId="774330C5" w:rsidR="005B2C9D" w:rsidRPr="00920919" w:rsidRDefault="00B44F47" w:rsidP="00B44F47">
            <w:pPr>
              <w:jc w:val="both"/>
              <w:rPr>
                <w:sz w:val="24"/>
                <w:szCs w:val="24"/>
              </w:rPr>
            </w:pPr>
            <w:r w:rsidRPr="00246251">
              <w:rPr>
                <w:rFonts w:cstheme="minorHAnsi"/>
              </w:rPr>
              <w:t>Las medidas contenidas en la resolución 2106 de 2021 del Ministerio de Salud y Protección Social contribuirán a mejorar las condiciones de accesibilidad y atención en salud para las personas en proceso de reincorporación.</w:t>
            </w:r>
          </w:p>
        </w:tc>
      </w:tr>
      <w:tr w:rsidR="005B2C9D" w:rsidRPr="00920919" w14:paraId="2E11F8DB" w14:textId="77777777" w:rsidTr="00B44F47">
        <w:tc>
          <w:tcPr>
            <w:tcW w:w="1056" w:type="dxa"/>
            <w:tcBorders>
              <w:top w:val="single" w:sz="4" w:space="0" w:color="0070C0"/>
              <w:left w:val="single" w:sz="4" w:space="0" w:color="0070C0"/>
              <w:bottom w:val="single" w:sz="4" w:space="0" w:color="0070C0"/>
            </w:tcBorders>
            <w:vAlign w:val="center"/>
          </w:tcPr>
          <w:p w14:paraId="7082507A" w14:textId="77777777" w:rsidR="005B2C9D" w:rsidRPr="00920919" w:rsidRDefault="005B2C9D" w:rsidP="00715628">
            <w:pPr>
              <w:jc w:val="center"/>
            </w:pPr>
            <w:r w:rsidRPr="00920919">
              <w:rPr>
                <w:noProof/>
                <w:color w:val="3366CC"/>
                <w:lang w:eastAsia="es-CO"/>
              </w:rPr>
              <w:drawing>
                <wp:inline distT="0" distB="0" distL="0" distR="0" wp14:anchorId="4B52513D" wp14:editId="30037604">
                  <wp:extent cx="958850" cy="861695"/>
                  <wp:effectExtent l="0" t="0" r="0" b="0"/>
                  <wp:docPr id="1478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525641F8" w14:textId="77777777" w:rsidR="005B2C9D" w:rsidRPr="00920919" w:rsidRDefault="005B2C9D" w:rsidP="00715628">
            <w:pPr>
              <w:jc w:val="both"/>
              <w:rPr>
                <w:color w:val="002060"/>
                <w:sz w:val="28"/>
                <w:szCs w:val="28"/>
              </w:rPr>
            </w:pPr>
            <w:r w:rsidRPr="00920919">
              <w:rPr>
                <w:color w:val="002060"/>
                <w:sz w:val="28"/>
                <w:szCs w:val="28"/>
              </w:rPr>
              <w:t>¿Qué desafíos y retos tuvimos para el cumplimiento?</w:t>
            </w:r>
          </w:p>
          <w:p w14:paraId="380662E2" w14:textId="77777777" w:rsidR="00E82A24" w:rsidRDefault="00E82A24" w:rsidP="00E82A24">
            <w:pPr>
              <w:jc w:val="both"/>
              <w:rPr>
                <w:rFonts w:cstheme="minorHAnsi"/>
              </w:rPr>
            </w:pPr>
          </w:p>
          <w:p w14:paraId="5F98BB9B" w14:textId="0E88FAB3" w:rsidR="00E82A24" w:rsidRDefault="00E82A24" w:rsidP="00E82A24">
            <w:pPr>
              <w:jc w:val="both"/>
              <w:rPr>
                <w:rFonts w:cstheme="minorHAnsi"/>
              </w:rPr>
            </w:pPr>
            <w:r>
              <w:rPr>
                <w:rFonts w:cstheme="minorHAnsi"/>
              </w:rPr>
              <w:t>Debido a que esta resolución salió a finales de 2021, el trabajo priorizado fue la definición de la estrategia para el acompañamiento que se le prestará tanto a los hospitales priorizados como a la población en reincorporación, respecto al debido cumplimiento de lo estipulado como el acceso a los derechos que tiene la población beneficiaria.</w:t>
            </w:r>
          </w:p>
          <w:p w14:paraId="01620493" w14:textId="77777777" w:rsidR="00E82A24" w:rsidRDefault="00E82A24" w:rsidP="00E82A24">
            <w:pPr>
              <w:jc w:val="both"/>
              <w:rPr>
                <w:rFonts w:cstheme="minorHAnsi"/>
              </w:rPr>
            </w:pPr>
          </w:p>
          <w:p w14:paraId="7D3324A6" w14:textId="0EAFEFA3" w:rsidR="005B2C9D" w:rsidRPr="00E82A24" w:rsidRDefault="00E82A24" w:rsidP="00715628">
            <w:pPr>
              <w:jc w:val="both"/>
              <w:rPr>
                <w:rFonts w:cstheme="minorHAnsi"/>
              </w:rPr>
            </w:pPr>
            <w:r>
              <w:rPr>
                <w:rFonts w:cstheme="minorHAnsi"/>
              </w:rPr>
              <w:t>Así mismo se realizó un ejercicio de priorización para el acompañamiento de aquellas zonas donde los hospitales priorizados no están cercanos a lugar donde vive la población en reincorporación. Esto con el fin de poder concertar y priorizar acciones que permitan el acceso eficiente a la población tal como es el caso de Arauca.</w:t>
            </w:r>
          </w:p>
        </w:tc>
      </w:tr>
    </w:tbl>
    <w:p w14:paraId="0284A97A" w14:textId="77777777" w:rsidR="005B2C9D" w:rsidRPr="00920919" w:rsidRDefault="005B2C9D" w:rsidP="005B2C9D">
      <w:pPr>
        <w:spacing w:after="0" w:line="240" w:lineRule="auto"/>
        <w:jc w:val="both"/>
        <w:rPr>
          <w:sz w:val="24"/>
          <w:szCs w:val="24"/>
        </w:rPr>
      </w:pPr>
      <w:bookmarkStart w:id="3" w:name="_GoBack"/>
      <w:bookmarkEnd w:id="3"/>
    </w:p>
    <w:p w14:paraId="0E71DD95" w14:textId="0FD33DAA" w:rsidR="00091C4F" w:rsidRPr="00920919" w:rsidRDefault="00091C4F" w:rsidP="005965DF">
      <w:pPr>
        <w:spacing w:after="0" w:line="240" w:lineRule="auto"/>
        <w:jc w:val="both"/>
        <w:rPr>
          <w:sz w:val="28"/>
          <w:szCs w:val="28"/>
        </w:rPr>
      </w:pPr>
      <w:r w:rsidRPr="00920919">
        <w:rPr>
          <w:sz w:val="28"/>
          <w:szCs w:val="28"/>
        </w:rPr>
        <w:t>Otras Acciones para la Construcción de Paz</w:t>
      </w:r>
    </w:p>
    <w:p w14:paraId="048661CC" w14:textId="627BA3C7" w:rsidR="00091C4F" w:rsidRPr="00920919" w:rsidRDefault="00091C4F" w:rsidP="005965DF">
      <w:pPr>
        <w:spacing w:after="0" w:line="240" w:lineRule="auto"/>
        <w:jc w:val="both"/>
        <w:rPr>
          <w:sz w:val="24"/>
          <w:szCs w:val="24"/>
        </w:rPr>
      </w:pPr>
    </w:p>
    <w:p w14:paraId="3C46E96D" w14:textId="3783290B" w:rsidR="00F172EB" w:rsidRPr="00920919" w:rsidRDefault="00F172EB" w:rsidP="005965DF">
      <w:pPr>
        <w:spacing w:after="0" w:line="240" w:lineRule="auto"/>
        <w:jc w:val="both"/>
        <w:rPr>
          <w:sz w:val="24"/>
          <w:szCs w:val="24"/>
        </w:rPr>
      </w:pPr>
      <w:r w:rsidRPr="00920919">
        <w:rPr>
          <w:sz w:val="24"/>
          <w:szCs w:val="24"/>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195A2E1B" w:rsidR="00F172EB" w:rsidRPr="00920919"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F172EB" w:rsidRPr="00920919" w14:paraId="704A61AA" w14:textId="77777777" w:rsidTr="00623C90">
        <w:tc>
          <w:tcPr>
            <w:tcW w:w="2519" w:type="dxa"/>
            <w:shd w:val="clear" w:color="auto" w:fill="002060"/>
            <w:vAlign w:val="center"/>
          </w:tcPr>
          <w:p w14:paraId="6374244E" w14:textId="2A210A20" w:rsidR="00F172EB" w:rsidRPr="00920919" w:rsidRDefault="00F172EB" w:rsidP="00623C90">
            <w:pPr>
              <w:jc w:val="center"/>
              <w:rPr>
                <w:sz w:val="36"/>
                <w:szCs w:val="36"/>
              </w:rPr>
            </w:pPr>
            <w:r w:rsidRPr="00920919">
              <w:rPr>
                <w:sz w:val="36"/>
                <w:szCs w:val="36"/>
              </w:rPr>
              <w:t>Acciones para la Construcción de Paz</w:t>
            </w:r>
          </w:p>
        </w:tc>
        <w:tc>
          <w:tcPr>
            <w:tcW w:w="6265" w:type="dxa"/>
          </w:tcPr>
          <w:p w14:paraId="79A1A6CA" w14:textId="77777777" w:rsidR="00F172EB" w:rsidRPr="00920919" w:rsidRDefault="00F172EB" w:rsidP="00623C90">
            <w:pPr>
              <w:jc w:val="both"/>
              <w:rPr>
                <w:sz w:val="36"/>
                <w:szCs w:val="36"/>
                <w:highlight w:val="yellow"/>
              </w:rPr>
            </w:pPr>
          </w:p>
          <w:p w14:paraId="49888726" w14:textId="542CF430" w:rsidR="00F172EB" w:rsidRPr="0014088F" w:rsidRDefault="00986AA1" w:rsidP="00623C90">
            <w:pPr>
              <w:jc w:val="both"/>
              <w:rPr>
                <w:sz w:val="24"/>
                <w:szCs w:val="24"/>
              </w:rPr>
            </w:pPr>
            <w:r w:rsidRPr="0014088F">
              <w:rPr>
                <w:sz w:val="24"/>
                <w:szCs w:val="24"/>
              </w:rPr>
              <w:t>Planes y programas identificados de acuerdo a los resultados del censo socioeconómico</w:t>
            </w:r>
          </w:p>
          <w:p w14:paraId="15B588B6" w14:textId="77777777" w:rsidR="00F172EB" w:rsidRPr="00920919" w:rsidRDefault="00F172EB" w:rsidP="00623C90">
            <w:pPr>
              <w:jc w:val="both"/>
              <w:rPr>
                <w:sz w:val="36"/>
                <w:szCs w:val="36"/>
              </w:rPr>
            </w:pPr>
          </w:p>
        </w:tc>
      </w:tr>
    </w:tbl>
    <w:p w14:paraId="33A77F07" w14:textId="77777777" w:rsidR="00F172EB" w:rsidRPr="00920919" w:rsidRDefault="00F172EB" w:rsidP="005965DF">
      <w:pPr>
        <w:spacing w:after="0" w:line="240" w:lineRule="auto"/>
        <w:jc w:val="both"/>
        <w:rPr>
          <w:sz w:val="24"/>
          <w:szCs w:val="24"/>
        </w:rPr>
      </w:pPr>
    </w:p>
    <w:p w14:paraId="00276DFB" w14:textId="69299EFA" w:rsidR="00F172EB" w:rsidRDefault="00F172EB" w:rsidP="005965DF">
      <w:pPr>
        <w:spacing w:after="0" w:line="240" w:lineRule="auto"/>
        <w:jc w:val="both"/>
        <w:rPr>
          <w:sz w:val="24"/>
          <w:szCs w:val="24"/>
        </w:rPr>
      </w:pPr>
    </w:p>
    <w:tbl>
      <w:tblPr>
        <w:tblpPr w:leftFromText="141" w:rightFromText="141" w:vertAnchor="text" w:horzAnchor="margin" w:tblpY="169"/>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661"/>
      </w:tblGrid>
      <w:tr w:rsidR="00DE6337" w:rsidRPr="00AD7E08" w14:paraId="3097852F" w14:textId="77777777" w:rsidTr="00DE6337">
        <w:trPr>
          <w:trHeight w:val="394"/>
        </w:trPr>
        <w:tc>
          <w:tcPr>
            <w:tcW w:w="2411" w:type="dxa"/>
            <w:shd w:val="clear" w:color="auto" w:fill="1F4E79" w:themeFill="accent5" w:themeFillShade="80"/>
          </w:tcPr>
          <w:p w14:paraId="63B23662" w14:textId="77777777" w:rsidR="00DE6337" w:rsidRPr="00AD7E08" w:rsidRDefault="00DE6337" w:rsidP="00DE6337">
            <w:pPr>
              <w:spacing w:after="0" w:line="240" w:lineRule="auto"/>
              <w:jc w:val="center"/>
              <w:rPr>
                <w:rFonts w:cstheme="minorHAnsi"/>
                <w:bCs/>
                <w:color w:val="FFFFFF"/>
              </w:rPr>
            </w:pPr>
            <w:r w:rsidRPr="00AD7E08">
              <w:rPr>
                <w:rFonts w:cstheme="minorHAnsi"/>
                <w:bCs/>
                <w:color w:val="FFFFFF"/>
              </w:rPr>
              <w:t>AÑO</w:t>
            </w:r>
          </w:p>
        </w:tc>
        <w:tc>
          <w:tcPr>
            <w:tcW w:w="6661" w:type="dxa"/>
            <w:shd w:val="clear" w:color="auto" w:fill="1F4E79" w:themeFill="accent5" w:themeFillShade="80"/>
          </w:tcPr>
          <w:p w14:paraId="46DD3DC5" w14:textId="38303EE8" w:rsidR="00DE6337" w:rsidRPr="00AD7E08" w:rsidRDefault="00DE6337" w:rsidP="00DE6337">
            <w:pPr>
              <w:spacing w:after="0" w:line="240" w:lineRule="auto"/>
              <w:jc w:val="center"/>
              <w:rPr>
                <w:rFonts w:cstheme="minorHAnsi"/>
                <w:bCs/>
                <w:color w:val="FFFFFF"/>
              </w:rPr>
            </w:pPr>
            <w:r>
              <w:rPr>
                <w:rFonts w:cstheme="minorHAnsi"/>
                <w:bCs/>
                <w:color w:val="FFFFFF"/>
              </w:rPr>
              <w:t xml:space="preserve">ACCIONES Y </w:t>
            </w:r>
            <w:r w:rsidRPr="00AD7E08">
              <w:rPr>
                <w:rFonts w:cstheme="minorHAnsi"/>
                <w:bCs/>
                <w:color w:val="FFFFFF"/>
              </w:rPr>
              <w:t>ACTIVIDADES DESARROLLADAS</w:t>
            </w:r>
          </w:p>
        </w:tc>
      </w:tr>
      <w:tr w:rsidR="00DE6337" w:rsidRPr="00AD7E08" w14:paraId="6B9AACE9" w14:textId="77777777" w:rsidTr="00DE6337">
        <w:trPr>
          <w:trHeight w:val="394"/>
        </w:trPr>
        <w:tc>
          <w:tcPr>
            <w:tcW w:w="2411" w:type="dxa"/>
            <w:shd w:val="clear" w:color="auto" w:fill="auto"/>
          </w:tcPr>
          <w:p w14:paraId="3FDD3504" w14:textId="77777777" w:rsidR="00DE6337" w:rsidRPr="00AD7E08" w:rsidRDefault="00DE6337" w:rsidP="00DE6337">
            <w:pPr>
              <w:spacing w:after="0" w:line="240" w:lineRule="auto"/>
              <w:rPr>
                <w:rFonts w:cstheme="minorHAnsi"/>
                <w:b/>
                <w:bCs/>
              </w:rPr>
            </w:pPr>
            <w:r w:rsidRPr="00DE6337">
              <w:rPr>
                <w:rFonts w:cstheme="minorHAnsi"/>
                <w:b/>
                <w:bCs/>
                <w:color w:val="1F4E79" w:themeColor="accent5" w:themeShade="80"/>
              </w:rPr>
              <w:t>2021</w:t>
            </w:r>
          </w:p>
        </w:tc>
        <w:tc>
          <w:tcPr>
            <w:tcW w:w="6661" w:type="dxa"/>
            <w:shd w:val="clear" w:color="auto" w:fill="auto"/>
          </w:tcPr>
          <w:p w14:paraId="2447A53C" w14:textId="592D0D31" w:rsidR="00DE6337" w:rsidRPr="00AD7E08" w:rsidRDefault="00986AA1" w:rsidP="00DE6337">
            <w:pPr>
              <w:spacing w:after="0" w:line="240" w:lineRule="auto"/>
              <w:jc w:val="both"/>
              <w:rPr>
                <w:rFonts w:cstheme="minorHAnsi"/>
              </w:rPr>
            </w:pPr>
            <w:r w:rsidRPr="00986AA1">
              <w:rPr>
                <w:rFonts w:cstheme="minorHAnsi"/>
              </w:rPr>
              <w:t>1. Implementación de las acciones correspondientes a los cuatro objetivos del CONPES 3931 de 2018 - Política Nacional para la Reincorporación Social y Económica de ex integrantes de FARC-EP</w:t>
            </w:r>
          </w:p>
        </w:tc>
      </w:tr>
    </w:tbl>
    <w:p w14:paraId="7094C522" w14:textId="165B9DB8" w:rsidR="003D7E06" w:rsidRDefault="003D7E06"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102"/>
      </w:tblGrid>
      <w:tr w:rsidR="00986AA1" w:rsidRPr="00920919" w14:paraId="6B87216F" w14:textId="77777777" w:rsidTr="00715628">
        <w:tc>
          <w:tcPr>
            <w:tcW w:w="1056" w:type="dxa"/>
            <w:tcBorders>
              <w:top w:val="single" w:sz="4" w:space="0" w:color="0070C0"/>
              <w:left w:val="single" w:sz="4" w:space="0" w:color="0070C0"/>
              <w:bottom w:val="single" w:sz="4" w:space="0" w:color="0070C0"/>
            </w:tcBorders>
            <w:vAlign w:val="center"/>
          </w:tcPr>
          <w:p w14:paraId="67AC23A2" w14:textId="77777777" w:rsidR="00986AA1" w:rsidRPr="00920919" w:rsidRDefault="00986AA1" w:rsidP="00715628">
            <w:pPr>
              <w:jc w:val="center"/>
              <w:rPr>
                <w:sz w:val="24"/>
                <w:szCs w:val="24"/>
              </w:rPr>
            </w:pPr>
            <w:r w:rsidRPr="00920919">
              <w:rPr>
                <w:noProof/>
                <w:lang w:eastAsia="es-CO"/>
              </w:rPr>
              <w:drawing>
                <wp:inline distT="0" distB="0" distL="0" distR="0" wp14:anchorId="30E2DC0C" wp14:editId="0A209832">
                  <wp:extent cx="775335" cy="937260"/>
                  <wp:effectExtent l="0" t="0" r="0" b="0"/>
                  <wp:docPr id="14792" name="Imagen 14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51DFDAD6" w14:textId="77777777" w:rsidR="00986AA1" w:rsidRPr="00920919" w:rsidRDefault="00986AA1" w:rsidP="00715628">
            <w:pPr>
              <w:jc w:val="both"/>
              <w:rPr>
                <w:color w:val="002060"/>
                <w:sz w:val="28"/>
                <w:szCs w:val="28"/>
              </w:rPr>
            </w:pPr>
            <w:r w:rsidRPr="00920919">
              <w:rPr>
                <w:color w:val="002060"/>
                <w:sz w:val="28"/>
                <w:szCs w:val="28"/>
              </w:rPr>
              <w:t>¿Cómo lo hicimos?</w:t>
            </w:r>
          </w:p>
          <w:p w14:paraId="13DB2D8B" w14:textId="77777777" w:rsidR="00986AA1" w:rsidRDefault="00986AA1" w:rsidP="00715628">
            <w:pPr>
              <w:jc w:val="both"/>
            </w:pPr>
          </w:p>
          <w:p w14:paraId="62230B75" w14:textId="77777777" w:rsidR="00986AA1" w:rsidRPr="00674D36" w:rsidRDefault="00986AA1" w:rsidP="00986AA1">
            <w:pPr>
              <w:rPr>
                <w:rFonts w:cstheme="minorHAnsi"/>
                <w:b/>
                <w:i/>
                <w:color w:val="000000" w:themeColor="text1"/>
              </w:rPr>
            </w:pPr>
            <w:r w:rsidRPr="00674D36">
              <w:rPr>
                <w:rFonts w:cstheme="minorHAnsi"/>
                <w:b/>
                <w:color w:val="000000" w:themeColor="text1"/>
              </w:rPr>
              <w:t xml:space="preserve">El OE 1: </w:t>
            </w:r>
            <w:r w:rsidRPr="00674D36">
              <w:rPr>
                <w:rFonts w:cstheme="minorHAnsi"/>
                <w:b/>
                <w:i/>
                <w:color w:val="000000" w:themeColor="text1"/>
              </w:rPr>
              <w:t>Fortalecer la articulación y planificación entre los actores involucrados en el proceso de reincorporación integral de los exintegrantes de FARC-EP y sus familias</w:t>
            </w:r>
          </w:p>
          <w:p w14:paraId="757B7366" w14:textId="77777777" w:rsidR="00986AA1" w:rsidRPr="00674D36" w:rsidRDefault="00986AA1" w:rsidP="00986AA1">
            <w:pPr>
              <w:rPr>
                <w:rFonts w:cstheme="minorHAnsi"/>
                <w:b/>
                <w:i/>
                <w:color w:val="000000" w:themeColor="text1"/>
              </w:rPr>
            </w:pPr>
          </w:p>
          <w:p w14:paraId="1C06FF7A" w14:textId="77777777" w:rsidR="00986AA1" w:rsidRPr="00674D36" w:rsidRDefault="00986AA1" w:rsidP="00631DF4">
            <w:pPr>
              <w:pStyle w:val="Prrafodelista"/>
              <w:numPr>
                <w:ilvl w:val="0"/>
                <w:numId w:val="38"/>
              </w:numPr>
              <w:rPr>
                <w:rFonts w:cstheme="minorHAnsi"/>
                <w:color w:val="000000" w:themeColor="text1"/>
              </w:rPr>
            </w:pPr>
            <w:r w:rsidRPr="00674D36">
              <w:rPr>
                <w:rFonts w:cstheme="minorHAnsi"/>
                <w:color w:val="000000" w:themeColor="text1"/>
              </w:rPr>
              <w:t>Concertación de líneas de acción, con 17 entidades que contribuyen a los componentes de la ruta de reincorporación, mediante el desarrollo de mesas sectoriales. (Mesa de Sostenibilidad Económica - Proyectos y asociatividad- Inclusión Laboral, Mesa de Habitabilidad y Vivienda, Mesa de Educación, Mesa de Familia, Mesa de Salud)</w:t>
            </w:r>
          </w:p>
          <w:p w14:paraId="5383A2B1" w14:textId="77777777" w:rsidR="00986AA1" w:rsidRPr="00674D36" w:rsidRDefault="00986AA1" w:rsidP="00631DF4">
            <w:pPr>
              <w:pStyle w:val="Prrafodelista"/>
              <w:numPr>
                <w:ilvl w:val="0"/>
                <w:numId w:val="38"/>
              </w:numPr>
              <w:rPr>
                <w:rFonts w:cstheme="minorHAnsi"/>
                <w:color w:val="000000" w:themeColor="text1"/>
              </w:rPr>
            </w:pPr>
            <w:r w:rsidRPr="00674D36">
              <w:rPr>
                <w:rFonts w:cstheme="minorHAnsi"/>
                <w:color w:val="000000" w:themeColor="text1"/>
              </w:rPr>
              <w:t>Como parte del proceso de diseño del Sistema Nacional de Reincorporación, se desarrollaron las siguientes fases 1. Consolidación, 2. Seguimiento, 3. Alistamiento 4. Construcción conjunta de una propuesta de SNR.</w:t>
            </w:r>
          </w:p>
          <w:p w14:paraId="66F3D42D" w14:textId="77777777" w:rsidR="00986AA1" w:rsidRDefault="00986AA1" w:rsidP="00986AA1">
            <w:pPr>
              <w:rPr>
                <w:rFonts w:cstheme="minorHAnsi"/>
                <w:color w:val="000000" w:themeColor="text1"/>
              </w:rPr>
            </w:pPr>
          </w:p>
          <w:p w14:paraId="7C05430E" w14:textId="331FBAE9" w:rsidR="00986AA1" w:rsidRDefault="00986AA1" w:rsidP="00986AA1">
            <w:pPr>
              <w:rPr>
                <w:rFonts w:cstheme="minorHAnsi"/>
                <w:color w:val="000000" w:themeColor="text1"/>
              </w:rPr>
            </w:pPr>
            <w:r w:rsidRPr="00986AA1">
              <w:rPr>
                <w:rFonts w:cstheme="minorHAnsi"/>
                <w:color w:val="000000" w:themeColor="text1"/>
              </w:rPr>
              <w:lastRenderedPageBreak/>
              <w:t>Estas fases permitieron identificar con sectores del nivel nacional, unas líneas de acción que contribuyan a los componentes de la ruta de reincorporación, desde su alcance y oferta. Con el diseño del Sistema Nacional de Reincorporación, se espera promover sinergias entre las entidades que permitan apalancar dichas líneas de acción. Por su parte, a través de estas fases se desarrolló un ejercicio preparatorio en el cual se recogieron recomendaciones de expertos externos que ofrecieron insumos para la construcción conjunta de una propuesta de Sistema Nacional de Reincorporación.</w:t>
            </w:r>
          </w:p>
          <w:p w14:paraId="63523A15" w14:textId="77777777" w:rsidR="00986AA1" w:rsidRPr="00986AA1" w:rsidRDefault="00986AA1" w:rsidP="00986AA1">
            <w:pPr>
              <w:rPr>
                <w:rFonts w:cstheme="minorHAnsi"/>
                <w:color w:val="000000" w:themeColor="text1"/>
              </w:rPr>
            </w:pPr>
          </w:p>
          <w:p w14:paraId="70EA595C" w14:textId="77777777" w:rsidR="00986AA1" w:rsidRDefault="00986AA1" w:rsidP="00884269">
            <w:pPr>
              <w:pStyle w:val="Prrafodelista"/>
              <w:numPr>
                <w:ilvl w:val="0"/>
                <w:numId w:val="38"/>
              </w:numPr>
              <w:ind w:left="423"/>
              <w:rPr>
                <w:rFonts w:cstheme="minorHAnsi"/>
                <w:color w:val="000000" w:themeColor="text1"/>
              </w:rPr>
            </w:pPr>
            <w:r>
              <w:rPr>
                <w:rFonts w:cstheme="minorHAnsi"/>
                <w:color w:val="000000" w:themeColor="text1"/>
              </w:rPr>
              <w:t>E</w:t>
            </w:r>
            <w:r w:rsidRPr="00674D36">
              <w:rPr>
                <w:rFonts w:cstheme="minorHAnsi"/>
                <w:color w:val="000000" w:themeColor="text1"/>
              </w:rPr>
              <w:t xml:space="preserve">ntrenamiento a </w:t>
            </w:r>
            <w:r>
              <w:rPr>
                <w:rFonts w:cstheme="minorHAnsi"/>
                <w:color w:val="000000" w:themeColor="text1"/>
              </w:rPr>
              <w:t xml:space="preserve">433 </w:t>
            </w:r>
            <w:r w:rsidRPr="00674D36">
              <w:rPr>
                <w:rFonts w:cstheme="minorHAnsi"/>
                <w:color w:val="000000" w:themeColor="text1"/>
              </w:rPr>
              <w:t>profesionales de la ARN</w:t>
            </w:r>
            <w:r>
              <w:rPr>
                <w:rFonts w:cstheme="minorHAnsi"/>
                <w:color w:val="000000" w:themeColor="text1"/>
              </w:rPr>
              <w:t>, 301 mujeres y 132 hombres,</w:t>
            </w:r>
            <w:r w:rsidRPr="00674D36">
              <w:rPr>
                <w:rFonts w:cstheme="minorHAnsi"/>
                <w:color w:val="000000" w:themeColor="text1"/>
              </w:rPr>
              <w:t xml:space="preserve"> en Enfoque de Género y Orientaciones Sexuales e Ide</w:t>
            </w:r>
            <w:r>
              <w:rPr>
                <w:rFonts w:cstheme="minorHAnsi"/>
                <w:color w:val="000000" w:themeColor="text1"/>
              </w:rPr>
              <w:t>ntidades de Género Diversas.</w:t>
            </w:r>
          </w:p>
          <w:p w14:paraId="69730033" w14:textId="77777777" w:rsidR="00986AA1"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Identificación de</w:t>
            </w:r>
            <w:r>
              <w:rPr>
                <w:rFonts w:cstheme="minorHAnsi"/>
                <w:color w:val="000000" w:themeColor="text1"/>
              </w:rPr>
              <w:t xml:space="preserve"> 73</w:t>
            </w:r>
            <w:r w:rsidRPr="00674D36">
              <w:rPr>
                <w:rFonts w:cstheme="minorHAnsi"/>
                <w:color w:val="000000" w:themeColor="text1"/>
              </w:rPr>
              <w:t xml:space="preserve"> Puntos Focales de Género de los Grupos Territoriales de la entidad para fortalecer la incorporación del enfoque en la reincorporación</w:t>
            </w:r>
          </w:p>
          <w:p w14:paraId="7BDBA660" w14:textId="77777777" w:rsidR="00986AA1"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 xml:space="preserve">Entrenamiento a </w:t>
            </w:r>
            <w:r>
              <w:rPr>
                <w:rFonts w:cstheme="minorHAnsi"/>
                <w:color w:val="000000" w:themeColor="text1"/>
              </w:rPr>
              <w:t>139 personas con perfil productivo y a 53 Puntos Focales de Género de los Grupos</w:t>
            </w:r>
            <w:r w:rsidRPr="00674D36">
              <w:rPr>
                <w:rFonts w:cstheme="minorHAnsi"/>
                <w:color w:val="000000" w:themeColor="text1"/>
              </w:rPr>
              <w:t xml:space="preserve"> territoriales</w:t>
            </w:r>
            <w:r>
              <w:rPr>
                <w:rFonts w:cstheme="minorHAnsi"/>
                <w:color w:val="000000" w:themeColor="text1"/>
              </w:rPr>
              <w:t xml:space="preserve"> de la ARN</w:t>
            </w:r>
            <w:r w:rsidRPr="00674D36">
              <w:rPr>
                <w:rFonts w:cstheme="minorHAnsi"/>
                <w:color w:val="000000" w:themeColor="text1"/>
              </w:rPr>
              <w:t xml:space="preserve"> en la "Herramientas para la inclusión del enfoque de género en procesos d</w:t>
            </w:r>
            <w:r>
              <w:rPr>
                <w:rFonts w:cstheme="minorHAnsi"/>
                <w:color w:val="000000" w:themeColor="text1"/>
              </w:rPr>
              <w:t>e reincorporación económica”.</w:t>
            </w:r>
          </w:p>
          <w:p w14:paraId="348AA8C3" w14:textId="77777777" w:rsidR="00986AA1" w:rsidRPr="00674D36" w:rsidRDefault="00986AA1" w:rsidP="00884269">
            <w:pPr>
              <w:pStyle w:val="Prrafodelista"/>
              <w:numPr>
                <w:ilvl w:val="0"/>
                <w:numId w:val="38"/>
              </w:numPr>
              <w:ind w:left="423"/>
              <w:rPr>
                <w:rFonts w:cstheme="minorHAnsi"/>
                <w:color w:val="000000" w:themeColor="text1"/>
              </w:rPr>
            </w:pPr>
            <w:r>
              <w:t xml:space="preserve">12 entrenamientos presenciales y 4 virtuales </w:t>
            </w:r>
            <w:r w:rsidRPr="00674D36">
              <w:rPr>
                <w:rFonts w:cstheme="minorHAnsi"/>
                <w:color w:val="000000" w:themeColor="text1"/>
              </w:rPr>
              <w:t>en reincorporación con enfoque de género, a personal de entidades territoriales de los departamentos de Meta, Antioquia, Cauca, Caquetá, Nariño y Putumayo, realizados en conjunto con la Mesa Técnica de Género.</w:t>
            </w:r>
          </w:p>
          <w:p w14:paraId="46790C4B" w14:textId="77777777" w:rsidR="00986AA1" w:rsidRPr="00674D36" w:rsidRDefault="00986AA1" w:rsidP="00986AA1">
            <w:pPr>
              <w:pStyle w:val="Prrafodelista"/>
              <w:rPr>
                <w:rFonts w:cstheme="minorHAnsi"/>
                <w:color w:val="000000" w:themeColor="text1"/>
              </w:rPr>
            </w:pPr>
          </w:p>
          <w:p w14:paraId="2CD96FB7" w14:textId="77777777" w:rsidR="00986AA1" w:rsidRPr="00674D36" w:rsidRDefault="00986AA1" w:rsidP="00986AA1">
            <w:pPr>
              <w:rPr>
                <w:rFonts w:cstheme="minorHAnsi"/>
                <w:b/>
                <w:i/>
                <w:color w:val="000000" w:themeColor="text1"/>
              </w:rPr>
            </w:pPr>
            <w:r w:rsidRPr="00674D36">
              <w:rPr>
                <w:rFonts w:cstheme="minorHAnsi"/>
                <w:b/>
                <w:i/>
                <w:color w:val="000000" w:themeColor="text1"/>
              </w:rPr>
              <w:t>El OE 2 Promover la reincorporación comunitaria en el territorio, orientada al fortalecimiento del tejido social, la convivencia y la reconciliación.</w:t>
            </w:r>
          </w:p>
          <w:p w14:paraId="2C9F8A7C" w14:textId="77777777" w:rsidR="00986AA1" w:rsidRPr="00674D36" w:rsidRDefault="00986AA1" w:rsidP="00986AA1">
            <w:pPr>
              <w:rPr>
                <w:rFonts w:cstheme="minorHAnsi"/>
                <w:b/>
                <w:i/>
                <w:color w:val="000000" w:themeColor="text1"/>
              </w:rPr>
            </w:pPr>
          </w:p>
          <w:p w14:paraId="7F908A10" w14:textId="77777777" w:rsidR="00986AA1" w:rsidRPr="00674D36" w:rsidRDefault="00986AA1" w:rsidP="00884269">
            <w:pPr>
              <w:pStyle w:val="Prrafodelista"/>
              <w:numPr>
                <w:ilvl w:val="0"/>
                <w:numId w:val="38"/>
              </w:numPr>
              <w:ind w:left="423"/>
              <w:rPr>
                <w:rFonts w:cstheme="minorHAnsi"/>
                <w:bCs/>
                <w:iCs/>
                <w:color w:val="000000" w:themeColor="text1"/>
              </w:rPr>
            </w:pPr>
            <w:r w:rsidRPr="00674D36">
              <w:rPr>
                <w:rFonts w:cstheme="minorHAnsi"/>
                <w:bCs/>
                <w:iCs/>
                <w:color w:val="000000" w:themeColor="text1"/>
              </w:rPr>
              <w:t>Ejecución del proyecto “Iniciativas comunitarias desarrolladas por organizaciones de la sociedad Civil que promuevan la convivencia y la reconciliación en escenarios de reincorporación”. A través</w:t>
            </w:r>
            <w:r>
              <w:rPr>
                <w:rFonts w:cstheme="minorHAnsi"/>
                <w:bCs/>
                <w:iCs/>
                <w:color w:val="000000" w:themeColor="text1"/>
              </w:rPr>
              <w:t xml:space="preserve"> de la </w:t>
            </w:r>
            <w:r w:rsidRPr="00674D36">
              <w:rPr>
                <w:rFonts w:cstheme="minorHAnsi"/>
                <w:bCs/>
                <w:iCs/>
                <w:color w:val="000000" w:themeColor="text1"/>
              </w:rPr>
              <w:t>convocatoria del Fondo Multidonante de las Nacio</w:t>
            </w:r>
            <w:r>
              <w:rPr>
                <w:rFonts w:cstheme="minorHAnsi"/>
                <w:bCs/>
                <w:iCs/>
                <w:color w:val="000000" w:themeColor="text1"/>
              </w:rPr>
              <w:t>nes Unidas para el Posconflicto</w:t>
            </w:r>
            <w:r w:rsidRPr="00674D36">
              <w:rPr>
                <w:rFonts w:cstheme="minorHAnsi"/>
                <w:bCs/>
                <w:iCs/>
                <w:color w:val="000000" w:themeColor="text1"/>
              </w:rPr>
              <w:t xml:space="preserve">, se financió </w:t>
            </w:r>
            <w:r>
              <w:rPr>
                <w:rFonts w:cstheme="minorHAnsi"/>
                <w:bCs/>
                <w:iCs/>
                <w:color w:val="000000" w:themeColor="text1"/>
              </w:rPr>
              <w:t>1</w:t>
            </w:r>
            <w:r w:rsidRPr="00674D36">
              <w:rPr>
                <w:rFonts w:cstheme="minorHAnsi"/>
                <w:bCs/>
                <w:iCs/>
                <w:color w:val="000000" w:themeColor="text1"/>
              </w:rPr>
              <w:t>0 proyectos comunitarios formulados por Orga</w:t>
            </w:r>
            <w:r>
              <w:rPr>
                <w:rFonts w:cstheme="minorHAnsi"/>
                <w:bCs/>
                <w:iCs/>
                <w:color w:val="000000" w:themeColor="text1"/>
              </w:rPr>
              <w:t>nizaciones de Base que presentan</w:t>
            </w:r>
            <w:r w:rsidRPr="00674D36">
              <w:rPr>
                <w:rFonts w:cstheme="minorHAnsi"/>
                <w:bCs/>
                <w:iCs/>
                <w:color w:val="000000" w:themeColor="text1"/>
              </w:rPr>
              <w:t xml:space="preserve"> propuestas de trabajo en reincorporación comunitaria que contribuyan al cumplimiento de Iniciativas Plan de Desarrollo con Enfo</w:t>
            </w:r>
            <w:r>
              <w:rPr>
                <w:rFonts w:cstheme="minorHAnsi"/>
                <w:bCs/>
                <w:iCs/>
                <w:color w:val="000000" w:themeColor="text1"/>
              </w:rPr>
              <w:t>que Territorial (PDET) del Pilar</w:t>
            </w:r>
            <w:r w:rsidRPr="00674D36">
              <w:rPr>
                <w:rFonts w:cstheme="minorHAnsi"/>
                <w:bCs/>
                <w:iCs/>
                <w:color w:val="000000" w:themeColor="text1"/>
              </w:rPr>
              <w:t xml:space="preserve"> de Convivencia, reconciliación y construcción de paz. Dichos procesos vienen siendo ejecutados a través de Programa de las Naciones Unidas para el Desarrollo (PNUD).</w:t>
            </w:r>
          </w:p>
          <w:p w14:paraId="670D91E7" w14:textId="77777777" w:rsidR="00986AA1" w:rsidRPr="00674D36"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Desarrollo de jornadas de sensibilización de la Estrategia de prevención de la estigmatización dirigida a autoridades territoriales, funcionarios de los grupos territoriales de la ARN y delegados de las entidades que integran la Mesa Nacional de Prevención de la Estigmatización.</w:t>
            </w:r>
          </w:p>
          <w:p w14:paraId="0EA34222" w14:textId="77777777" w:rsidR="00986AA1" w:rsidRPr="00674D36"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Inicio de la implementación de 1</w:t>
            </w:r>
            <w:r>
              <w:rPr>
                <w:rFonts w:asciiTheme="minorHAnsi" w:hAnsiTheme="minorHAnsi" w:cstheme="minorHAnsi"/>
                <w:color w:val="000000" w:themeColor="text1"/>
                <w:szCs w:val="22"/>
              </w:rPr>
              <w:t>0</w:t>
            </w:r>
            <w:r w:rsidRPr="00674D36">
              <w:rPr>
                <w:rFonts w:asciiTheme="minorHAnsi" w:hAnsiTheme="minorHAnsi" w:cstheme="minorHAnsi"/>
                <w:color w:val="000000" w:themeColor="text1"/>
                <w:szCs w:val="22"/>
              </w:rPr>
              <w:t xml:space="preserve"> procesos comunitarios orientados al fortalecimiento de la ciudadanía activa para mujeres de la comunidad y las exintegrantes de las FARC- EP a través de la puesta en marcha del </w:t>
            </w:r>
            <w:r w:rsidRPr="00674D36">
              <w:rPr>
                <w:rFonts w:asciiTheme="minorHAnsi" w:hAnsiTheme="minorHAnsi" w:cstheme="minorHAnsi"/>
                <w:color w:val="000000" w:themeColor="text1"/>
                <w:szCs w:val="22"/>
              </w:rPr>
              <w:lastRenderedPageBreak/>
              <w:t>Convenio 1193 de 2021 suscrito entre la ARN y el Fondo de las Naciones Unidas para la</w:t>
            </w:r>
            <w:r>
              <w:rPr>
                <w:rFonts w:asciiTheme="minorHAnsi" w:hAnsiTheme="minorHAnsi" w:cstheme="minorHAnsi"/>
                <w:color w:val="000000" w:themeColor="text1"/>
                <w:szCs w:val="22"/>
              </w:rPr>
              <w:t>s Poblaciones (UNFPA).</w:t>
            </w:r>
          </w:p>
          <w:p w14:paraId="282CC574" w14:textId="77777777" w:rsidR="00986AA1" w:rsidRPr="00674D36"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Diseño e implementación de 3</w:t>
            </w:r>
            <w:r>
              <w:rPr>
                <w:rFonts w:asciiTheme="minorHAnsi" w:hAnsiTheme="minorHAnsi" w:cstheme="minorHAnsi"/>
                <w:color w:val="000000" w:themeColor="text1"/>
                <w:szCs w:val="22"/>
              </w:rPr>
              <w:t>0</w:t>
            </w:r>
            <w:r w:rsidRPr="00674D36">
              <w:rPr>
                <w:rFonts w:asciiTheme="minorHAnsi" w:hAnsiTheme="minorHAnsi" w:cstheme="minorHAnsi"/>
                <w:color w:val="000000" w:themeColor="text1"/>
                <w:szCs w:val="22"/>
              </w:rPr>
              <w:t xml:space="preserve"> intervenciones comunitarias de convivencia y reconciliación dirigidas a actores comunitarios y exintegrantes FARC-EP a través de la suscripción del convenio 1217 de 2021 que tiene por objeto: “Aunar esfuerzos técnicos, administrativos y financieros para aportar a la implementación de la Política Nacional de Reincorporación Social y Económica de Exintegrantes de las FARC-EP, a través de acciones encaminadas a la reincorporación integral y mejoramiento de la calidad de vida de las comunidades, en el marco de la hoja de ruta PDET y el CONPES 3931 de 2018” . Este proceso tiene como marco orientador el documento de Estrategia de Reincorporación Comunitaria elaborado entre la ARN y el Componente Comunes en las sesiones de la Mesa Técnica Comunitaria del CNR. </w:t>
            </w:r>
          </w:p>
          <w:p w14:paraId="589FC855" w14:textId="77777777" w:rsidR="00986AA1" w:rsidRDefault="00986AA1" w:rsidP="00884269">
            <w:pPr>
              <w:pStyle w:val="Textosinformato"/>
              <w:numPr>
                <w:ilvl w:val="0"/>
                <w:numId w:val="38"/>
              </w:numPr>
              <w:ind w:left="423"/>
              <w:rPr>
                <w:rFonts w:asciiTheme="minorHAnsi" w:hAnsiTheme="minorHAnsi" w:cstheme="minorHAnsi"/>
                <w:color w:val="000000" w:themeColor="text1"/>
                <w:szCs w:val="22"/>
              </w:rPr>
            </w:pPr>
            <w:r w:rsidRPr="008E0D04">
              <w:rPr>
                <w:rFonts w:asciiTheme="minorHAnsi" w:hAnsiTheme="minorHAnsi" w:cstheme="minorHAnsi"/>
                <w:color w:val="000000" w:themeColor="text1"/>
                <w:szCs w:val="22"/>
              </w:rPr>
              <w:t>Coordinación e implementación de todas las acciones necesarias para la vinculación de la Estrategia de Reincorporación Comunitaria con la Política Pública de Reconciliación, Convivencia, Tolerancia y no Estigmatización, esto se materializó con la retroalimentación por parte del equipo técnico a través de observaciones al documento de la política, remitida al Ministerio del Inte</w:t>
            </w:r>
            <w:r>
              <w:rPr>
                <w:rFonts w:asciiTheme="minorHAnsi" w:hAnsiTheme="minorHAnsi" w:cstheme="minorHAnsi"/>
                <w:color w:val="000000" w:themeColor="text1"/>
                <w:szCs w:val="22"/>
              </w:rPr>
              <w:t>rior</w:t>
            </w:r>
            <w:r w:rsidRPr="008E0D04">
              <w:rPr>
                <w:rFonts w:asciiTheme="minorHAnsi" w:hAnsiTheme="minorHAnsi" w:cstheme="minorHAnsi"/>
                <w:color w:val="000000" w:themeColor="text1"/>
                <w:szCs w:val="22"/>
              </w:rPr>
              <w:t>. Adicionalmente, se asistieron a dos sesiones de socialización de la política pública a organizaciones sociales e</w:t>
            </w:r>
            <w:r>
              <w:rPr>
                <w:rFonts w:asciiTheme="minorHAnsi" w:hAnsiTheme="minorHAnsi" w:cstheme="minorHAnsi"/>
                <w:color w:val="000000" w:themeColor="text1"/>
                <w:szCs w:val="22"/>
              </w:rPr>
              <w:t>n San Andrés de Tumaco y Bogotá.</w:t>
            </w:r>
          </w:p>
          <w:p w14:paraId="04D552E1" w14:textId="77777777" w:rsidR="00986AA1" w:rsidRPr="00674D36"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Se desarrollan estrategias para atender de forma objetiva 107 iniciativas económico-productivas que se vienen acompañando para su implementación y el encadenamiento solidario entre las comunidades del territorio, los exintegrantes FARC-EP en proceso de reincorporación y las instituciones, acercando las empresas privadas para hacer vinculación y posible contratación directa para el suministro de productos, permitir dinámicas comerciales para la venta de sus productos en el mercado real, a través de las estrategias desarrolladas por el Ministerio de Comercio y del Ministerio de Agricultura.</w:t>
            </w:r>
          </w:p>
          <w:p w14:paraId="53D5E7EE" w14:textId="77777777" w:rsidR="00986AA1" w:rsidRPr="008E0D04" w:rsidRDefault="00986AA1" w:rsidP="00884269">
            <w:pPr>
              <w:pStyle w:val="Textosinformato"/>
              <w:numPr>
                <w:ilvl w:val="0"/>
                <w:numId w:val="38"/>
              </w:numPr>
              <w:ind w:left="423"/>
              <w:rPr>
                <w:rFonts w:asciiTheme="minorHAnsi" w:hAnsiTheme="minorHAnsi" w:cstheme="minorHAnsi"/>
                <w:color w:val="000000" w:themeColor="text1"/>
                <w:szCs w:val="22"/>
              </w:rPr>
            </w:pPr>
            <w:r w:rsidRPr="00674D36">
              <w:rPr>
                <w:rFonts w:asciiTheme="minorHAnsi" w:hAnsiTheme="minorHAnsi" w:cstheme="minorHAnsi"/>
                <w:color w:val="000000" w:themeColor="text1"/>
                <w:szCs w:val="22"/>
              </w:rPr>
              <w:t>Articulación de los procesos comunitarios de la ARN con los Programas de Desarrollo con Enfoque Territorial (PDET) en las siguientes actividades: a</w:t>
            </w:r>
            <w:r>
              <w:rPr>
                <w:rFonts w:asciiTheme="minorHAnsi" w:hAnsiTheme="minorHAnsi" w:cstheme="minorHAnsi"/>
                <w:color w:val="000000" w:themeColor="text1"/>
                <w:szCs w:val="22"/>
              </w:rPr>
              <w:t>)</w:t>
            </w:r>
            <w:r w:rsidRPr="00674D36">
              <w:rPr>
                <w:rFonts w:asciiTheme="minorHAnsi" w:hAnsiTheme="minorHAnsi" w:cstheme="minorHAnsi"/>
                <w:color w:val="000000" w:themeColor="text1"/>
                <w:szCs w:val="22"/>
              </w:rPr>
              <w:t>. Participación en las Sesiones institucionales por Subregión PDET, b</w:t>
            </w:r>
            <w:r>
              <w:rPr>
                <w:rFonts w:asciiTheme="minorHAnsi" w:hAnsiTheme="minorHAnsi" w:cstheme="minorHAnsi"/>
                <w:color w:val="000000" w:themeColor="text1"/>
                <w:szCs w:val="22"/>
              </w:rPr>
              <w:t>)</w:t>
            </w:r>
            <w:r w:rsidRPr="00674D36">
              <w:rPr>
                <w:rFonts w:asciiTheme="minorHAnsi" w:hAnsiTheme="minorHAnsi" w:cstheme="minorHAnsi"/>
                <w:color w:val="000000" w:themeColor="text1"/>
                <w:szCs w:val="22"/>
              </w:rPr>
              <w:t>. Elaboración de insumos para las presentaciones previstas en el marco de las sesiones institucionales y c</w:t>
            </w:r>
            <w:r>
              <w:rPr>
                <w:rFonts w:asciiTheme="minorHAnsi" w:hAnsiTheme="minorHAnsi" w:cstheme="minorHAnsi"/>
                <w:color w:val="000000" w:themeColor="text1"/>
                <w:szCs w:val="22"/>
              </w:rPr>
              <w:t>)</w:t>
            </w:r>
            <w:r w:rsidRPr="00674D36">
              <w:rPr>
                <w:rFonts w:asciiTheme="minorHAnsi" w:hAnsiTheme="minorHAnsi" w:cstheme="minorHAnsi"/>
                <w:color w:val="000000" w:themeColor="text1"/>
                <w:szCs w:val="22"/>
              </w:rPr>
              <w:t>. Recopilación y envío de evidencias documentales del apalancamiento de iniciativas PDET realizadas por la ARN en el marco de su plan de acción 2020-2021.</w:t>
            </w:r>
          </w:p>
          <w:p w14:paraId="502F7BBD" w14:textId="77777777" w:rsidR="00986AA1" w:rsidRDefault="00986AA1" w:rsidP="00986AA1">
            <w:pPr>
              <w:rPr>
                <w:rFonts w:cstheme="minorHAnsi"/>
                <w:b/>
                <w:i/>
                <w:color w:val="000000" w:themeColor="text1"/>
              </w:rPr>
            </w:pPr>
          </w:p>
          <w:p w14:paraId="48AAD92D" w14:textId="77777777" w:rsidR="00986AA1" w:rsidRPr="00674D36" w:rsidRDefault="00986AA1" w:rsidP="00986AA1">
            <w:pPr>
              <w:rPr>
                <w:rFonts w:cstheme="minorHAnsi"/>
                <w:b/>
                <w:i/>
                <w:color w:val="000000" w:themeColor="text1"/>
              </w:rPr>
            </w:pPr>
            <w:r w:rsidRPr="00674D36">
              <w:rPr>
                <w:rFonts w:cstheme="minorHAnsi"/>
                <w:b/>
                <w:i/>
                <w:color w:val="000000" w:themeColor="text1"/>
              </w:rPr>
              <w:t>El OE 3 Generar condiciones para el acceso a mecanismos y recursos necesarios para la estabilización y proyección económica de exintegrantes de las FARC-EP y sus familias, de acuerdo con sus intereses, necesidades y potenciales.</w:t>
            </w:r>
          </w:p>
          <w:p w14:paraId="5D5A732E" w14:textId="77777777" w:rsidR="00986AA1" w:rsidRDefault="00986AA1" w:rsidP="00986AA1">
            <w:pPr>
              <w:jc w:val="both"/>
              <w:rPr>
                <w:rFonts w:cstheme="minorHAnsi"/>
                <w:color w:val="000000" w:themeColor="text1"/>
              </w:rPr>
            </w:pPr>
          </w:p>
          <w:p w14:paraId="720191C3" w14:textId="77777777" w:rsidR="00986AA1" w:rsidRDefault="00986AA1" w:rsidP="00986AA1">
            <w:pPr>
              <w:rPr>
                <w:rFonts w:cstheme="minorHAnsi"/>
                <w:color w:val="000000" w:themeColor="text1"/>
              </w:rPr>
            </w:pPr>
            <w:r w:rsidRPr="00674D36">
              <w:rPr>
                <w:rFonts w:cstheme="minorHAnsi"/>
                <w:color w:val="000000" w:themeColor="text1"/>
              </w:rPr>
              <w:t xml:space="preserve">A partir de la oferta institucional en la que puedan participar las personas en proceso de reincorporación para fortalecer sus capacidades y la promoción de la generación de fuentes de ingresos sostenibles, la asociatividad y la </w:t>
            </w:r>
            <w:r w:rsidRPr="00674D36">
              <w:rPr>
                <w:rFonts w:cstheme="minorHAnsi"/>
                <w:color w:val="000000" w:themeColor="text1"/>
              </w:rPr>
              <w:lastRenderedPageBreak/>
              <w:t>inclusión laboral, se realizaron diversas gestiones durante la vigencia 2021, para contribuir a la reincorporación social y económicamente en el marco de la legalidad:</w:t>
            </w:r>
          </w:p>
          <w:p w14:paraId="4141CED1" w14:textId="77777777" w:rsidR="00986AA1" w:rsidRDefault="00986AA1" w:rsidP="00986AA1">
            <w:pPr>
              <w:tabs>
                <w:tab w:val="left" w:pos="1032"/>
              </w:tabs>
              <w:rPr>
                <w:rFonts w:cstheme="minorHAnsi"/>
                <w:color w:val="000000" w:themeColor="text1"/>
              </w:rPr>
            </w:pPr>
            <w:r>
              <w:rPr>
                <w:rFonts w:cstheme="minorHAnsi"/>
                <w:color w:val="000000" w:themeColor="text1"/>
              </w:rPr>
              <w:tab/>
            </w:r>
          </w:p>
          <w:p w14:paraId="14A7EDD6" w14:textId="77777777" w:rsidR="00986AA1" w:rsidRDefault="00986AA1" w:rsidP="00884269">
            <w:pPr>
              <w:pStyle w:val="Prrafodelista"/>
              <w:numPr>
                <w:ilvl w:val="0"/>
                <w:numId w:val="38"/>
              </w:numPr>
              <w:ind w:left="423"/>
              <w:rPr>
                <w:rFonts w:cstheme="minorHAnsi"/>
                <w:color w:val="000000" w:themeColor="text1"/>
              </w:rPr>
            </w:pPr>
            <w:r w:rsidRPr="00674D36">
              <w:rPr>
                <w:rFonts w:cstheme="minorHAnsi"/>
                <w:color w:val="000000" w:themeColor="text1"/>
              </w:rPr>
              <w:t>La ARN y la Escuela Superior de Administra</w:t>
            </w:r>
            <w:r>
              <w:rPr>
                <w:rFonts w:cstheme="minorHAnsi"/>
                <w:color w:val="000000" w:themeColor="text1"/>
              </w:rPr>
              <w:t xml:space="preserve">ción Pública –ESAP </w:t>
            </w:r>
            <w:r w:rsidRPr="00674D36">
              <w:rPr>
                <w:rFonts w:cstheme="minorHAnsi"/>
                <w:color w:val="000000" w:themeColor="text1"/>
              </w:rPr>
              <w:t>realizar</w:t>
            </w:r>
            <w:r>
              <w:rPr>
                <w:rFonts w:cstheme="minorHAnsi"/>
                <w:color w:val="000000" w:themeColor="text1"/>
              </w:rPr>
              <w:t>on</w:t>
            </w:r>
            <w:r w:rsidRPr="00674D36">
              <w:rPr>
                <w:rFonts w:cstheme="minorHAnsi"/>
                <w:color w:val="000000" w:themeColor="text1"/>
              </w:rPr>
              <w:t xml:space="preserve"> la estructuración e implementación de procesos de fortalecimiento de liderazgos y formación en competencias para la participación ciudadana, comunitaria y social y resolución no violenta de conflictos orientados a personas en proceso de reincorporación. </w:t>
            </w:r>
          </w:p>
          <w:p w14:paraId="095BF048" w14:textId="77777777" w:rsidR="00986AA1" w:rsidRPr="008E0D04" w:rsidRDefault="00986AA1" w:rsidP="00884269">
            <w:pPr>
              <w:pStyle w:val="Prrafodelista"/>
              <w:numPr>
                <w:ilvl w:val="0"/>
                <w:numId w:val="38"/>
              </w:numPr>
              <w:ind w:left="423"/>
              <w:rPr>
                <w:rFonts w:cstheme="minorHAnsi"/>
                <w:b/>
                <w:i/>
                <w:color w:val="000000" w:themeColor="text1"/>
              </w:rPr>
            </w:pPr>
            <w:r w:rsidRPr="008E0D04">
              <w:rPr>
                <w:rFonts w:cstheme="minorHAnsi"/>
                <w:color w:val="000000" w:themeColor="text1"/>
              </w:rPr>
              <w:t xml:space="preserve">Fortalecimiento de </w:t>
            </w:r>
            <w:r>
              <w:rPr>
                <w:rFonts w:cstheme="minorHAnsi"/>
                <w:color w:val="000000" w:themeColor="text1"/>
              </w:rPr>
              <w:t>68</w:t>
            </w:r>
            <w:r w:rsidRPr="008E0D04">
              <w:rPr>
                <w:rFonts w:cstheme="minorHAnsi"/>
                <w:color w:val="000000" w:themeColor="text1"/>
              </w:rPr>
              <w:t xml:space="preserve"> iniciativas comunitarias formuladas por actores comunitari</w:t>
            </w:r>
            <w:r>
              <w:rPr>
                <w:rFonts w:cstheme="minorHAnsi"/>
                <w:color w:val="000000" w:themeColor="text1"/>
              </w:rPr>
              <w:t>o</w:t>
            </w:r>
            <w:r w:rsidRPr="008E0D04">
              <w:rPr>
                <w:rFonts w:cstheme="minorHAnsi"/>
                <w:color w:val="000000" w:themeColor="text1"/>
              </w:rPr>
              <w:t>s y ex</w:t>
            </w:r>
            <w:r>
              <w:rPr>
                <w:rFonts w:cstheme="minorHAnsi"/>
                <w:color w:val="000000" w:themeColor="text1"/>
              </w:rPr>
              <w:t xml:space="preserve"> </w:t>
            </w:r>
            <w:r w:rsidRPr="008E0D04">
              <w:rPr>
                <w:rFonts w:cstheme="minorHAnsi"/>
                <w:color w:val="000000" w:themeColor="text1"/>
              </w:rPr>
              <w:t xml:space="preserve">integrantes FARC-EP, a través de las cuales se fortalecieron iniciativas de perfil productivo, organizativo y comunitario. </w:t>
            </w:r>
          </w:p>
          <w:p w14:paraId="271D9CDA"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Se logra la vinculación de 14 proyectos productivos a iniciativas de trabajo comunitario, realizándose el acompañamiento y fortalecimiento en actividades productivas de dichas comunidades, logrando generar acciones de convivencia y reconciliación.</w:t>
            </w:r>
          </w:p>
          <w:p w14:paraId="36170E7E"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Fortalecimiento a 150 formas asociativas activas en los ámbitos comercial, financiero, organizacional, productivo, ambiental y de transformación digital, a través del apoyo de 190 actores entre los que se encuentran: Cooperación Internacional, Universidades, Entidades territoriales, Cámaras de Comercio, entidades nacionales, empresa privada.</w:t>
            </w:r>
          </w:p>
          <w:p w14:paraId="5A0ACC31" w14:textId="77777777" w:rsidR="00884269"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Vinculación de la ARN a la Mesa Técnica de Asociatividad Rural Productiva donde participan 12 entidades. En ella se divulga la política pública de Asociatividad Rural y se perfeccionan los instrumentos de autodiagn</w:t>
            </w:r>
            <w:r>
              <w:rPr>
                <w:rFonts w:cstheme="minorHAnsi"/>
                <w:color w:val="000000" w:themeColor="text1"/>
              </w:rPr>
              <w:t>óstico y autofortalecimiento, avanzando</w:t>
            </w:r>
            <w:r w:rsidRPr="008E0D04">
              <w:rPr>
                <w:rFonts w:cstheme="minorHAnsi"/>
                <w:color w:val="000000" w:themeColor="text1"/>
              </w:rPr>
              <w:t xml:space="preserve"> en la Ruta Nacional de Asociatividad Rural Productiva en la cual se incluye la ruta de atención a las Formas Asociativas de Reincorporados propuesta en el Conpes 3931.</w:t>
            </w:r>
          </w:p>
          <w:p w14:paraId="1B280259" w14:textId="73FA07D1" w:rsidR="00986AA1" w:rsidRPr="00884269" w:rsidRDefault="00986AA1" w:rsidP="00884269">
            <w:pPr>
              <w:pStyle w:val="Prrafodelista"/>
              <w:numPr>
                <w:ilvl w:val="0"/>
                <w:numId w:val="38"/>
              </w:numPr>
              <w:ind w:left="423"/>
              <w:rPr>
                <w:rFonts w:cstheme="minorHAnsi"/>
                <w:color w:val="000000" w:themeColor="text1"/>
              </w:rPr>
            </w:pPr>
            <w:r w:rsidRPr="00884269">
              <w:rPr>
                <w:rFonts w:cstheme="minorHAnsi"/>
                <w:color w:val="000000" w:themeColor="text1"/>
              </w:rPr>
              <w:t xml:space="preserve">Ejecución del Convenio N°1696 entre la Organización Internacional para las Migraciones-OIM y la Agencia para la Reincorporación y Normalización - ARN a través de los operadores: Asociación Antioqueña de Cooperativas-CONFECOOP Antioquia, Asociación de Cooperativas y Empresas Solidarias del Huila-ASOCOOPH y la Central de Integración y Capacitación-CINCOP para el fortalecimiento integral de 68 formas asociativas en temas contables, organizacionales, así como el desarrollo  de la plataforma de gestión de información. </w:t>
            </w:r>
          </w:p>
          <w:p w14:paraId="68EECB4C"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Se realizó el primer Encuentro Nacional de Confecciones para la Paz, promovido por ECOMUN, con el apoyo de la Misión de NU, la Unión Europea, lks-Mondragon, el PNUD, la Fundación COMPAZ, Confiar, la Alcaldía de Medellín, la Gobernación de Antioquia, y la ARN.</w:t>
            </w:r>
          </w:p>
          <w:p w14:paraId="2BFA20F1"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Se realizan acciones territoriales de caracterización socio laboral, que incluyeron:  a) la definición de los territorios; b) Análisis y procesamiento de la información de las fuentes de información identificadas; c) Construcción del informe de cruce de oferta productiva de los territorios priorizados. Como resultado se elaboraron 15 informes de los mu</w:t>
            </w:r>
            <w:r>
              <w:rPr>
                <w:rFonts w:cstheme="minorHAnsi"/>
                <w:color w:val="000000" w:themeColor="text1"/>
              </w:rPr>
              <w:t>nicipios que cuentan con documento</w:t>
            </w:r>
            <w:r w:rsidRPr="008E0D04">
              <w:rPr>
                <w:rFonts w:cstheme="minorHAnsi"/>
                <w:color w:val="000000" w:themeColor="text1"/>
              </w:rPr>
              <w:t xml:space="preserve"> de dinámica productiva </w:t>
            </w:r>
            <w:r w:rsidRPr="008E0D04">
              <w:rPr>
                <w:rFonts w:cstheme="minorHAnsi"/>
                <w:color w:val="000000" w:themeColor="text1"/>
              </w:rPr>
              <w:lastRenderedPageBreak/>
              <w:t>del Ministerio de Trabajo, a partir de la información consignada en el Sistema de Reincorporación y Reintegración (SIRR), la aportada por los Grupos Territoriales de la ARN en términos de interés en empleo y los resultados de los cruces de información de la Agencia Pública de Empleo APE SENA.  Estos incluyeron recomendaciones generales para incorporarse en la ejecución 2022.</w:t>
            </w:r>
          </w:p>
          <w:p w14:paraId="35CE7A78" w14:textId="77777777" w:rsidR="00986AA1" w:rsidRDefault="00986AA1" w:rsidP="00884269">
            <w:pPr>
              <w:pStyle w:val="Prrafodelista"/>
              <w:numPr>
                <w:ilvl w:val="0"/>
                <w:numId w:val="38"/>
              </w:numPr>
              <w:ind w:left="423"/>
              <w:rPr>
                <w:rFonts w:cstheme="minorHAnsi"/>
                <w:color w:val="000000" w:themeColor="text1"/>
              </w:rPr>
            </w:pPr>
            <w:r w:rsidRPr="008E0D04">
              <w:rPr>
                <w:rFonts w:cstheme="minorHAnsi"/>
                <w:color w:val="000000" w:themeColor="text1"/>
              </w:rPr>
              <w:t>Definición y ajustes de la ruta de atención para la promoción de la inclusión laboral de la población. Para ello en coordinación con la Unidad de Atención del Servicio público de Empleo (UASPE), se elaboró y sociali</w:t>
            </w:r>
            <w:r>
              <w:rPr>
                <w:rFonts w:cstheme="minorHAnsi"/>
                <w:color w:val="000000" w:themeColor="text1"/>
              </w:rPr>
              <w:t xml:space="preserve">zó con la red de prestadores de la </w:t>
            </w:r>
            <w:r w:rsidRPr="008E0D04">
              <w:rPr>
                <w:rFonts w:cstheme="minorHAnsi"/>
                <w:color w:val="000000" w:themeColor="text1"/>
              </w:rPr>
              <w:t xml:space="preserve">UASPE, el documento ABC para la promoción de la inclusión laboral de la población en proceso de reincorporación. </w:t>
            </w:r>
          </w:p>
          <w:p w14:paraId="4D3D1AEB"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Durante el año 2021 se implementaron entornos productivos en 10 líneas de formación para fortalecer las habilidades y competencias de la población excombatiente, buscando impactar positivamente en su posibilidad de generar ingresos a través de la vinculación laboral o proyectos e iniciativas productivas. </w:t>
            </w:r>
          </w:p>
          <w:p w14:paraId="3C3E9498" w14:textId="77777777" w:rsidR="00986AA1" w:rsidRPr="00926A6A" w:rsidRDefault="00986AA1" w:rsidP="00884269">
            <w:pPr>
              <w:pStyle w:val="Prrafodelista"/>
              <w:numPr>
                <w:ilvl w:val="0"/>
                <w:numId w:val="38"/>
              </w:numPr>
              <w:ind w:left="423"/>
              <w:rPr>
                <w:rFonts w:cstheme="minorHAnsi"/>
                <w:color w:val="000000" w:themeColor="text1"/>
              </w:rPr>
            </w:pPr>
            <w:r>
              <w:rPr>
                <w:rFonts w:cstheme="minorHAnsi"/>
                <w:color w:val="000000" w:themeColor="text1"/>
              </w:rPr>
              <w:t>Vinculación de mujeres</w:t>
            </w:r>
            <w:r w:rsidRPr="00926A6A">
              <w:rPr>
                <w:rFonts w:cstheme="minorHAnsi"/>
                <w:color w:val="000000" w:themeColor="text1"/>
              </w:rPr>
              <w:t xml:space="preserve"> a proyectos productivo</w:t>
            </w:r>
            <w:r>
              <w:rPr>
                <w:rFonts w:cstheme="minorHAnsi"/>
                <w:color w:val="000000" w:themeColor="text1"/>
              </w:rPr>
              <w:t xml:space="preserve">s, individuales o colectivos, o </w:t>
            </w:r>
            <w:r w:rsidRPr="00926A6A">
              <w:rPr>
                <w:rFonts w:cstheme="minorHAnsi"/>
                <w:color w:val="000000" w:themeColor="text1"/>
              </w:rPr>
              <w:t>en ruta de inclusión laboral, para mejorar oportunidades para el desarroll</w:t>
            </w:r>
            <w:r>
              <w:rPr>
                <w:rFonts w:cstheme="minorHAnsi"/>
                <w:color w:val="000000" w:themeColor="text1"/>
              </w:rPr>
              <w:t>o de su autonomía económica.</w:t>
            </w:r>
          </w:p>
          <w:p w14:paraId="47D76249"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Proyectos productivos colectivos aprobados con enfoque de género en su formulación, por medio de la matriz de evaluación de proyectos construida</w:t>
            </w:r>
            <w:r>
              <w:rPr>
                <w:rFonts w:cstheme="minorHAnsi"/>
                <w:color w:val="000000" w:themeColor="text1"/>
              </w:rPr>
              <w:t xml:space="preserve"> por La ARN.</w:t>
            </w:r>
          </w:p>
          <w:p w14:paraId="2CE266E8"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Mujeres en reincorporación bancarizadas que les permite el manejo de sus recursos.</w:t>
            </w:r>
          </w:p>
          <w:p w14:paraId="0492AAB3"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Adecuación o construcción de espacios para el cuidado de niños y niñas en 18 Antiguos ETCR, y con la participación en planes comunitarios de cuidado, para la dism</w:t>
            </w:r>
            <w:r>
              <w:rPr>
                <w:rFonts w:cstheme="minorHAnsi"/>
                <w:color w:val="000000" w:themeColor="text1"/>
              </w:rPr>
              <w:t>inución de brechas de cuidado.</w:t>
            </w:r>
          </w:p>
          <w:p w14:paraId="09AB5565"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Construcción de matrices de necesidad e intereses de las mujeres en reincorporación con mujeres de los departamentos de Meta, Antioquia, Cauca, Caquetá, Nariño y Putumayo; en articulación con la Mesa Técnica de Género. </w:t>
            </w:r>
          </w:p>
          <w:p w14:paraId="0CF7B84B" w14:textId="77777777" w:rsidR="00986AA1" w:rsidRPr="00674D36" w:rsidRDefault="00986AA1" w:rsidP="00986AA1">
            <w:pPr>
              <w:rPr>
                <w:rFonts w:cstheme="minorHAnsi"/>
                <w:b/>
                <w:i/>
                <w:color w:val="000000" w:themeColor="text1"/>
              </w:rPr>
            </w:pPr>
          </w:p>
          <w:p w14:paraId="1665DC5B" w14:textId="77777777" w:rsidR="00986AA1" w:rsidRPr="00674D36" w:rsidRDefault="00986AA1" w:rsidP="00986AA1">
            <w:pPr>
              <w:rPr>
                <w:rFonts w:cstheme="minorHAnsi"/>
                <w:b/>
                <w:i/>
                <w:color w:val="000000" w:themeColor="text1"/>
              </w:rPr>
            </w:pPr>
            <w:r w:rsidRPr="00674D36">
              <w:rPr>
                <w:rFonts w:cstheme="minorHAnsi"/>
                <w:b/>
                <w:i/>
                <w:color w:val="000000" w:themeColor="text1"/>
              </w:rPr>
              <w:t>El OE 4 Generar condiciones para el acceso y la atención de los derechos fundamentales e integrales de exintegrantes de las FARC - EP y sus familias</w:t>
            </w:r>
          </w:p>
          <w:p w14:paraId="5CC350FE" w14:textId="77777777" w:rsidR="00986AA1" w:rsidRDefault="00986AA1" w:rsidP="00986AA1">
            <w:pPr>
              <w:rPr>
                <w:rFonts w:cstheme="minorHAnsi"/>
                <w:color w:val="000000" w:themeColor="text1"/>
              </w:rPr>
            </w:pPr>
          </w:p>
          <w:p w14:paraId="4C071A7B"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Realización de brigadas de salud y entrega de métodos de planificación, para promover los derechos sexuales y reproductivos de las mujeres en reincorporación</w:t>
            </w:r>
            <w:r>
              <w:rPr>
                <w:rFonts w:cstheme="minorHAnsi"/>
                <w:color w:val="000000" w:themeColor="text1"/>
              </w:rPr>
              <w:t>.</w:t>
            </w:r>
          </w:p>
          <w:p w14:paraId="478FC457"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Construcción del documento Diagnóstico participativo de las personas de los sectores LGBTI </w:t>
            </w:r>
            <w:r>
              <w:rPr>
                <w:rFonts w:cstheme="minorHAnsi"/>
                <w:color w:val="000000" w:themeColor="text1"/>
              </w:rPr>
              <w:t>en proceso de reincorporación.</w:t>
            </w:r>
          </w:p>
          <w:p w14:paraId="716C0768"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Espacios para promover el respeto y no discriminación hacia personas de los sectores LGBTI en proceso de reincorporación.</w:t>
            </w:r>
          </w:p>
          <w:p w14:paraId="58651DC3"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Promoción de estrategias para la prevención, atención y sanción de las violencias basadas en género, en 16 territorios focalizados.</w:t>
            </w:r>
          </w:p>
          <w:p w14:paraId="3A339AC8" w14:textId="77777777" w:rsidR="00986AA1" w:rsidRDefault="00986AA1" w:rsidP="00884269">
            <w:pPr>
              <w:pStyle w:val="Prrafodelista"/>
              <w:numPr>
                <w:ilvl w:val="0"/>
                <w:numId w:val="38"/>
              </w:numPr>
              <w:ind w:left="423"/>
              <w:rPr>
                <w:rFonts w:cstheme="minorHAnsi"/>
                <w:color w:val="000000" w:themeColor="text1"/>
              </w:rPr>
            </w:pPr>
            <w:r w:rsidRPr="00926A6A">
              <w:rPr>
                <w:rFonts w:cstheme="minorHAnsi"/>
                <w:color w:val="000000" w:themeColor="text1"/>
              </w:rPr>
              <w:t xml:space="preserve">Articulación en el Comité de Cualificación y Acceso a la Justicia del Mecanismo Articulador para el Abordaje Integral de las Violencias por </w:t>
            </w:r>
            <w:r w:rsidRPr="00926A6A">
              <w:rPr>
                <w:rFonts w:cstheme="minorHAnsi"/>
                <w:color w:val="000000" w:themeColor="text1"/>
              </w:rPr>
              <w:lastRenderedPageBreak/>
              <w:t>Razón de Sexo y Género, espacio donde se inició el proceso de retroalimentación de la Ruta de Atención, se construyó metodología para las asesorías técnicas del espacio a territorios y se incluyó a la ARN en la sección “otros sectores” en la ruta de atención</w:t>
            </w:r>
          </w:p>
          <w:p w14:paraId="68C5B56F"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Funcionamiento permanente de las mesas de trabajo del Programa Camino Diferencial de vida (CNR Comunes, ARN, Misión de Verificación de ONU) y funcionamiento de la Mesa de Técnica de Menores, espacio creado para atender las necesidades de aquellas personas que no hacen parte del Programa Camino Diferencial de Vida pero que posteriormente han sido certificadas como menores de edad (CNR Comunes, ARN, Misión de Verificación de ONU, Unidad para la Atención Integral y Reparación de las Victimas y Procuraduría). En estas mesas se establecen acciones de evaluación y fortalecimiento del Programa y se gestionan estrategias que permitan que las personas jóvenes avancen en sus procesos de declaración ante el Ministerio Público y accedan a la reparación integral</w:t>
            </w:r>
            <w:r>
              <w:rPr>
                <w:rFonts w:eastAsia="Times New Roman" w:cstheme="minorHAnsi"/>
                <w:color w:val="000000" w:themeColor="text1"/>
                <w:lang w:eastAsia="es-CO"/>
              </w:rPr>
              <w:t>.</w:t>
            </w:r>
          </w:p>
          <w:p w14:paraId="03CE47CF"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 xml:space="preserve">Encuentros regionales que permitieron identificar necesidades, evaluar y fortalecer el Programa Camino Diferencial de Vida, adelantados en las ciudades de Cali, Florencia, Valledupar, Bogotá y Medellín. </w:t>
            </w:r>
          </w:p>
          <w:p w14:paraId="1BA57391"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Formalización y permanente funcionamiento de la mesa de trabajo del Programa Capazcidades (Ministerio de Salud, Misión de Verificación ONU, Asociación “Comité Nacional De Excombatientes Lisiados De Guerra Adultos Mayores Y Enfermedades De Alto Costo -CONELAEC- CNR Componente Comunes, ARN, PNUD y Cooperación Internacional) con el objetivo de tener una visión amplia frente al abordaje de las necesidade</w:t>
            </w:r>
            <w:r>
              <w:rPr>
                <w:rFonts w:eastAsia="Times New Roman" w:cstheme="minorHAnsi"/>
                <w:color w:val="000000" w:themeColor="text1"/>
                <w:lang w:eastAsia="es-CO"/>
              </w:rPr>
              <w:t>s específicas de esta población.</w:t>
            </w:r>
          </w:p>
          <w:p w14:paraId="354F5153" w14:textId="77777777" w:rsidR="00986AA1" w:rsidRPr="00926A6A" w:rsidRDefault="00986AA1" w:rsidP="00884269">
            <w:pPr>
              <w:pStyle w:val="Prrafodelista"/>
              <w:numPr>
                <w:ilvl w:val="0"/>
                <w:numId w:val="38"/>
              </w:numPr>
              <w:ind w:left="423"/>
              <w:rPr>
                <w:rFonts w:cstheme="minorHAnsi"/>
                <w:color w:val="000000" w:themeColor="text1"/>
              </w:rPr>
            </w:pPr>
            <w:r w:rsidRPr="00926A6A">
              <w:rPr>
                <w:rFonts w:eastAsia="Times New Roman" w:cstheme="minorHAnsi"/>
                <w:color w:val="000000" w:themeColor="text1"/>
                <w:lang w:eastAsia="es-CO"/>
              </w:rPr>
              <w:t>Funcionamiento permanente de la mesa de trabajo encargada de atender las necesidades de la población joven en reincorporación (CNR Componente Comunes y ARN -Equipo de Enfoque Diferencial y</w:t>
            </w:r>
            <w:r>
              <w:rPr>
                <w:rFonts w:eastAsia="Times New Roman" w:cstheme="minorHAnsi"/>
                <w:color w:val="000000" w:themeColor="text1"/>
                <w:lang w:eastAsia="es-CO"/>
              </w:rPr>
              <w:t xml:space="preserve"> </w:t>
            </w:r>
            <w:r w:rsidRPr="00926A6A">
              <w:rPr>
                <w:rFonts w:eastAsia="Times New Roman" w:cstheme="minorHAnsi"/>
                <w:color w:val="000000" w:themeColor="text1"/>
                <w:lang w:eastAsia="es-CO"/>
              </w:rPr>
              <w:t>de Género, Unidad Técnica de Rei</w:t>
            </w:r>
            <w:r>
              <w:rPr>
                <w:rFonts w:eastAsia="Times New Roman" w:cstheme="minorHAnsi"/>
                <w:color w:val="000000" w:themeColor="text1"/>
                <w:lang w:eastAsia="es-CO"/>
              </w:rPr>
              <w:t>ncorporación y Grupo de Diseño)</w:t>
            </w:r>
          </w:p>
          <w:p w14:paraId="3EEFBA37" w14:textId="77777777" w:rsidR="00986AA1" w:rsidRPr="00D06CF4" w:rsidRDefault="00986AA1" w:rsidP="00884269">
            <w:pPr>
              <w:pStyle w:val="Prrafodelista"/>
              <w:numPr>
                <w:ilvl w:val="0"/>
                <w:numId w:val="38"/>
              </w:numPr>
              <w:ind w:left="423"/>
              <w:rPr>
                <w:rFonts w:cstheme="minorHAnsi"/>
                <w:color w:val="000000" w:themeColor="text1"/>
              </w:rPr>
            </w:pPr>
            <w:r>
              <w:rPr>
                <w:rFonts w:eastAsia="Times New Roman" w:cstheme="minorHAnsi"/>
                <w:color w:val="000000" w:themeColor="text1"/>
                <w:lang w:eastAsia="es-CO"/>
              </w:rPr>
              <w:t>C</w:t>
            </w:r>
            <w:r w:rsidRPr="00926A6A">
              <w:rPr>
                <w:rFonts w:eastAsia="Times New Roman" w:cstheme="minorHAnsi"/>
                <w:color w:val="000000" w:themeColor="text1"/>
                <w:lang w:eastAsia="es-CO"/>
              </w:rPr>
              <w:t>oncertación para la construcción conjunta de la Estrategia de Atención Diferencial para Jóvenes en el Marco del Proceso de Reincorporación, cuyo objetivo es contribuir al goce efectivo de los derechos y a la construcción de paz a través de la implementación de acciones diferenciales que respondan a las necesidades e intereses de las personas jóvenes. Las líneas de trabajo definidas son (i) Proyecto de vida, (ii) Redes de apoyo, cuidado mutuo y entornos protectores, (iii) Construcción de paz, (iv) Participación y liderazgos.</w:t>
            </w:r>
          </w:p>
          <w:p w14:paraId="0DC79A63" w14:textId="77777777" w:rsidR="00986AA1" w:rsidRPr="00D06CF4" w:rsidRDefault="00986AA1" w:rsidP="00884269">
            <w:pPr>
              <w:pStyle w:val="Prrafodelista"/>
              <w:numPr>
                <w:ilvl w:val="0"/>
                <w:numId w:val="38"/>
              </w:numPr>
              <w:ind w:left="423"/>
              <w:rPr>
                <w:rFonts w:cstheme="minorHAnsi"/>
                <w:color w:val="000000" w:themeColor="text1"/>
              </w:rPr>
            </w:pPr>
            <w:r w:rsidRPr="00D06CF4">
              <w:rPr>
                <w:rFonts w:eastAsia="Times New Roman" w:cstheme="minorHAnsi"/>
                <w:color w:val="000000" w:themeColor="text1"/>
                <w:lang w:eastAsia="es-CO"/>
              </w:rPr>
              <w:t xml:space="preserve">Articulación con la Consejería Presidencial para la Juventud-Colombia Joven y priorización de jóvenes en reincorporación en el marco de la Estrategia Sacúdete, específicamente en la oferta Sacúdete con UNLab 4.0 de la Universidad Nacional. </w:t>
            </w:r>
          </w:p>
          <w:p w14:paraId="3D7A899A"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t>Acompañamiento de la sexta fase del Proyecto "Arando la Educación" del Ministerio de Educación Nacional (MEN) y el Consejo Noruego para Refugiados que apoya la vinculación de las personas en reincorporación en antiguos ETCR, en articulación con Fucepaz.</w:t>
            </w:r>
          </w:p>
          <w:p w14:paraId="20FDB748"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lastRenderedPageBreak/>
              <w:t>Implementación del Modelo Educativo de la UNAD con estrategia “Maestro Itinerante” por medio del cual la ARN apalanca la vinculación de personas en reincorporación fuera de antiguos ETCR, con el acompañamiento técnico del MEN.</w:t>
            </w:r>
          </w:p>
          <w:p w14:paraId="406D12EF" w14:textId="77777777" w:rsidR="00986AA1" w:rsidRDefault="00986AA1" w:rsidP="00884269">
            <w:pPr>
              <w:pStyle w:val="Prrafodelista"/>
              <w:numPr>
                <w:ilvl w:val="0"/>
                <w:numId w:val="38"/>
              </w:numPr>
              <w:ind w:left="423"/>
              <w:rPr>
                <w:rFonts w:cstheme="minorHAnsi"/>
                <w:color w:val="000000" w:themeColor="text1"/>
              </w:rPr>
            </w:pPr>
            <w:r>
              <w:rPr>
                <w:rFonts w:cstheme="minorHAnsi"/>
                <w:color w:val="000000" w:themeColor="text1"/>
              </w:rPr>
              <w:t>I</w:t>
            </w:r>
            <w:r w:rsidRPr="00D06CF4">
              <w:rPr>
                <w:rFonts w:cstheme="minorHAnsi"/>
                <w:color w:val="000000" w:themeColor="text1"/>
              </w:rPr>
              <w:t>mplementación Modelo Educativo Flexible “Tejiendo Saberes” por medio del cual la ARN apalanca la vinculación de personas en reincorporación fuera de antiguos ETCR, con el</w:t>
            </w:r>
            <w:r>
              <w:rPr>
                <w:rFonts w:cstheme="minorHAnsi"/>
                <w:color w:val="000000" w:themeColor="text1"/>
              </w:rPr>
              <w:t xml:space="preserve"> acompañamiento técnico del Ministerio de Educación Nacional (MEN).</w:t>
            </w:r>
          </w:p>
          <w:p w14:paraId="337C2322"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t>Constitución del Fondo de administración de recursos ICETEX que tiene como objeto financiar créditos educativos condonables de formación técnica profesional, tecnológica y pregrado universitario para personas en reincorporación.</w:t>
            </w:r>
          </w:p>
          <w:p w14:paraId="615F9308" w14:textId="77777777" w:rsidR="00986AA1" w:rsidRDefault="00986AA1" w:rsidP="00884269">
            <w:pPr>
              <w:pStyle w:val="Prrafodelista"/>
              <w:numPr>
                <w:ilvl w:val="0"/>
                <w:numId w:val="38"/>
              </w:numPr>
              <w:ind w:left="423"/>
              <w:rPr>
                <w:rFonts w:cstheme="minorHAnsi"/>
                <w:color w:val="000000" w:themeColor="text1"/>
              </w:rPr>
            </w:pPr>
            <w:r w:rsidRPr="00D06CF4">
              <w:rPr>
                <w:rFonts w:cstheme="minorHAnsi"/>
                <w:color w:val="000000" w:themeColor="text1"/>
              </w:rPr>
              <w:t>Vinculación de las personas en reincorporación a las becas de Escuela Superior de Administración Pública (ESAP), en articulación con el CNR y la UTR.</w:t>
            </w:r>
          </w:p>
          <w:p w14:paraId="37E1C674" w14:textId="622C87B8" w:rsidR="00986AA1" w:rsidRPr="00986AA1" w:rsidRDefault="00986AA1" w:rsidP="00884269">
            <w:pPr>
              <w:pStyle w:val="Prrafodelista"/>
              <w:numPr>
                <w:ilvl w:val="0"/>
                <w:numId w:val="38"/>
              </w:numPr>
              <w:ind w:left="423"/>
              <w:rPr>
                <w:rFonts w:cstheme="minorHAnsi"/>
                <w:color w:val="000000" w:themeColor="text1"/>
              </w:rPr>
            </w:pPr>
            <w:r w:rsidRPr="00986AA1">
              <w:rPr>
                <w:rFonts w:cstheme="minorHAnsi"/>
                <w:color w:val="000000" w:themeColor="text1"/>
              </w:rPr>
              <w:t>Acceso preferente a la oferta en formación para el trabajo y a los programas tecnológicos del Servicio Nacional de Aprendizaje, SENA.</w:t>
            </w:r>
          </w:p>
        </w:tc>
      </w:tr>
      <w:tr w:rsidR="00986AA1" w:rsidRPr="00920919" w14:paraId="32625B1E" w14:textId="77777777" w:rsidTr="00715628">
        <w:tc>
          <w:tcPr>
            <w:tcW w:w="1056" w:type="dxa"/>
            <w:tcBorders>
              <w:top w:val="single" w:sz="4" w:space="0" w:color="0070C0"/>
              <w:left w:val="single" w:sz="4" w:space="0" w:color="0070C0"/>
              <w:bottom w:val="single" w:sz="4" w:space="0" w:color="0070C0"/>
            </w:tcBorders>
            <w:vAlign w:val="center"/>
          </w:tcPr>
          <w:p w14:paraId="3A1AA299" w14:textId="77777777" w:rsidR="00986AA1" w:rsidRPr="00920919" w:rsidRDefault="00986AA1" w:rsidP="00715628">
            <w:pPr>
              <w:jc w:val="center"/>
              <w:rPr>
                <w:sz w:val="24"/>
                <w:szCs w:val="24"/>
              </w:rPr>
            </w:pPr>
            <w:r w:rsidRPr="00920919">
              <w:rPr>
                <w:noProof/>
                <w:lang w:eastAsia="es-CO"/>
              </w:rPr>
              <w:lastRenderedPageBreak/>
              <w:drawing>
                <wp:inline distT="0" distB="0" distL="0" distR="0" wp14:anchorId="1F7B75DB" wp14:editId="5E65152B">
                  <wp:extent cx="925830" cy="800100"/>
                  <wp:effectExtent l="0" t="0" r="0" b="0"/>
                  <wp:docPr id="14793" name="Imagen 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2ADCAA6A" w14:textId="77777777" w:rsidR="00986AA1" w:rsidRDefault="00986AA1" w:rsidP="00715628">
            <w:pPr>
              <w:jc w:val="both"/>
              <w:rPr>
                <w:color w:val="002060"/>
                <w:sz w:val="28"/>
                <w:szCs w:val="28"/>
              </w:rPr>
            </w:pPr>
            <w:r w:rsidRPr="00920919">
              <w:rPr>
                <w:color w:val="002060"/>
                <w:sz w:val="28"/>
                <w:szCs w:val="28"/>
              </w:rPr>
              <w:t>¿Quiénes se beneficiaron?</w:t>
            </w:r>
          </w:p>
          <w:p w14:paraId="6E826E62" w14:textId="2B3F790F" w:rsidR="00986AA1" w:rsidRDefault="00986AA1" w:rsidP="00715628">
            <w:pPr>
              <w:jc w:val="both"/>
              <w:rPr>
                <w:sz w:val="24"/>
                <w:szCs w:val="24"/>
              </w:rPr>
            </w:pPr>
          </w:p>
          <w:p w14:paraId="43921448" w14:textId="77777777" w:rsidR="000C041F" w:rsidRPr="00D06CF4" w:rsidRDefault="000C041F" w:rsidP="000C041F">
            <w:pPr>
              <w:rPr>
                <w:rFonts w:cstheme="minorHAnsi"/>
                <w:b/>
                <w:i/>
              </w:rPr>
            </w:pPr>
            <w:r w:rsidRPr="00D06CF4">
              <w:rPr>
                <w:rFonts w:cstheme="minorHAnsi"/>
                <w:b/>
              </w:rPr>
              <w:t xml:space="preserve">El OE 1: </w:t>
            </w:r>
            <w:r w:rsidRPr="00D06CF4">
              <w:rPr>
                <w:rFonts w:cstheme="minorHAnsi"/>
                <w:b/>
                <w:i/>
              </w:rPr>
              <w:t>Fortalecer la articulación y planificación entre los actores involucrados en el proceso de reincorporación integral de los exintegrantes de FARC-EP y sus familias</w:t>
            </w:r>
          </w:p>
          <w:p w14:paraId="5620E958" w14:textId="77777777" w:rsidR="000C041F" w:rsidRPr="00D06CF4" w:rsidRDefault="000C041F" w:rsidP="000C041F">
            <w:pPr>
              <w:rPr>
                <w:rFonts w:cstheme="minorHAnsi"/>
                <w:color w:val="000000"/>
              </w:rPr>
            </w:pPr>
          </w:p>
          <w:p w14:paraId="47A4B0FB" w14:textId="77777777" w:rsidR="000C041F" w:rsidRPr="0099609B" w:rsidRDefault="000C041F" w:rsidP="00631DF4">
            <w:pPr>
              <w:pStyle w:val="Prrafodelista"/>
              <w:numPr>
                <w:ilvl w:val="0"/>
                <w:numId w:val="40"/>
              </w:numPr>
              <w:rPr>
                <w:rFonts w:cstheme="minorHAnsi"/>
                <w:i/>
              </w:rPr>
            </w:pPr>
            <w:r>
              <w:rPr>
                <w:rFonts w:cstheme="minorHAnsi"/>
                <w:color w:val="000000"/>
              </w:rPr>
              <w:t>815</w:t>
            </w:r>
            <w:r w:rsidRPr="00F843BC">
              <w:rPr>
                <w:rFonts w:cstheme="minorHAnsi"/>
                <w:color w:val="000000"/>
              </w:rPr>
              <w:t xml:space="preserve"> servidoras públicas entrenadas</w:t>
            </w:r>
            <w:r>
              <w:rPr>
                <w:rFonts w:cstheme="minorHAnsi"/>
                <w:color w:val="000000"/>
              </w:rPr>
              <w:t xml:space="preserve">, </w:t>
            </w:r>
            <w:r w:rsidRPr="00F843BC">
              <w:rPr>
                <w:rFonts w:cstheme="minorHAnsi"/>
                <w:color w:val="000000"/>
              </w:rPr>
              <w:t>500 personas servidoras públicas focalizadas</w:t>
            </w:r>
            <w:r>
              <w:rPr>
                <w:rFonts w:cstheme="minorHAnsi"/>
                <w:color w:val="000000"/>
              </w:rPr>
              <w:t xml:space="preserve"> </w:t>
            </w:r>
            <w:r w:rsidRPr="0099609B">
              <w:rPr>
                <w:rFonts w:cstheme="minorHAnsi"/>
                <w:color w:val="000000"/>
              </w:rPr>
              <w:t xml:space="preserve">en Enfoque de Género y Orientaciones Sexuales e Identidades de Género Diversas. </w:t>
            </w:r>
          </w:p>
          <w:p w14:paraId="14266920" w14:textId="77777777" w:rsidR="000C041F" w:rsidRPr="0099609B" w:rsidRDefault="000C041F" w:rsidP="00631DF4">
            <w:pPr>
              <w:pStyle w:val="Prrafodelista"/>
              <w:numPr>
                <w:ilvl w:val="0"/>
                <w:numId w:val="40"/>
              </w:numPr>
              <w:rPr>
                <w:rFonts w:cstheme="minorHAnsi"/>
                <w:i/>
              </w:rPr>
            </w:pPr>
            <w:r w:rsidRPr="0099609B">
              <w:rPr>
                <w:rFonts w:cstheme="minorHAnsi"/>
                <w:color w:val="000000"/>
              </w:rPr>
              <w:t xml:space="preserve">Identificación de </w:t>
            </w:r>
            <w:r>
              <w:rPr>
                <w:rFonts w:cstheme="minorHAnsi"/>
                <w:color w:val="000000"/>
              </w:rPr>
              <w:t>80</w:t>
            </w:r>
            <w:r w:rsidRPr="0099609B">
              <w:rPr>
                <w:rFonts w:cstheme="minorHAnsi"/>
                <w:color w:val="000000"/>
              </w:rPr>
              <w:t xml:space="preserve"> Puntos Focales de Género de los Grupos Territoriales de la entidad, con quienes se realizaron 6 espacios de transferencia de capacidades para la atención diferencial en género en las garantías de la hoja de ruta de reincorporación</w:t>
            </w:r>
          </w:p>
          <w:p w14:paraId="209B9F3C" w14:textId="77777777" w:rsidR="000C041F" w:rsidRPr="0099609B" w:rsidRDefault="000C041F" w:rsidP="00631DF4">
            <w:pPr>
              <w:pStyle w:val="Prrafodelista"/>
              <w:numPr>
                <w:ilvl w:val="0"/>
                <w:numId w:val="40"/>
              </w:numPr>
              <w:rPr>
                <w:rFonts w:cstheme="minorHAnsi"/>
                <w:i/>
              </w:rPr>
            </w:pPr>
            <w:r w:rsidRPr="0099609B">
              <w:rPr>
                <w:rFonts w:cstheme="minorHAnsi"/>
                <w:color w:val="000000"/>
              </w:rPr>
              <w:t>Jornada de entrenamiento en la "Herramientas para la inclusión del enfoque de género en procesos de reincorporación económica" a 139 referentes productivos de los equipos de ARN y del componente FARC a nivel territorial.</w:t>
            </w:r>
          </w:p>
          <w:p w14:paraId="0D387387" w14:textId="77777777" w:rsidR="000C041F" w:rsidRPr="0099609B" w:rsidRDefault="000C041F" w:rsidP="00631DF4">
            <w:pPr>
              <w:pStyle w:val="Prrafodelista"/>
              <w:numPr>
                <w:ilvl w:val="0"/>
                <w:numId w:val="40"/>
              </w:numPr>
              <w:rPr>
                <w:rFonts w:cstheme="minorHAnsi"/>
                <w:i/>
              </w:rPr>
            </w:pPr>
            <w:r>
              <w:rPr>
                <w:rFonts w:cstheme="minorHAnsi"/>
                <w:color w:val="000000"/>
              </w:rPr>
              <w:t>316</w:t>
            </w:r>
            <w:r w:rsidRPr="0099609B">
              <w:rPr>
                <w:rFonts w:cstheme="minorHAnsi"/>
                <w:color w:val="000000"/>
              </w:rPr>
              <w:t xml:space="preserve"> personas de entidades </w:t>
            </w:r>
            <w:r>
              <w:rPr>
                <w:rFonts w:cstheme="minorHAnsi"/>
                <w:color w:val="000000"/>
              </w:rPr>
              <w:t xml:space="preserve">municipales y departamentales </w:t>
            </w:r>
            <w:r w:rsidRPr="0099609B">
              <w:rPr>
                <w:rFonts w:cstheme="minorHAnsi"/>
                <w:color w:val="000000"/>
              </w:rPr>
              <w:t>participaron de los entrenamientos en reincorporación con enfoque de género realizados con la Mesa Técnica de Género.</w:t>
            </w:r>
            <w:r>
              <w:rPr>
                <w:rFonts w:cstheme="minorHAnsi"/>
                <w:color w:val="000000"/>
              </w:rPr>
              <w:t xml:space="preserve"> 242 de manera presencial (Antioquia, Meta, Putumayo, Caquetá, Cauca y Nariño) y 74 de manera virtual (La Guajira, Guaviare, Huila y Arauca)</w:t>
            </w:r>
          </w:p>
          <w:p w14:paraId="49B4B465" w14:textId="77777777" w:rsidR="000C041F" w:rsidRPr="00254DBB" w:rsidRDefault="000C041F" w:rsidP="00631DF4">
            <w:pPr>
              <w:pStyle w:val="Prrafodelista"/>
              <w:numPr>
                <w:ilvl w:val="0"/>
                <w:numId w:val="40"/>
              </w:numPr>
              <w:rPr>
                <w:rFonts w:cstheme="minorHAnsi"/>
                <w:i/>
              </w:rPr>
            </w:pPr>
            <w:r w:rsidRPr="0099609B">
              <w:rPr>
                <w:rFonts w:cstheme="minorHAnsi"/>
              </w:rPr>
              <w:t>Vinculación de 65 personas mediante contrato de prestación de servicios con el fin de fortalecer la capacidad técnica del CNR y los CTR.  (Del total de personas vinculadas: 32 son mujeres, 33 son hombres- 45 son ex integrantes FARC-EP)</w:t>
            </w:r>
          </w:p>
          <w:p w14:paraId="347962EE" w14:textId="77777777" w:rsidR="000C041F" w:rsidRPr="0099609B" w:rsidRDefault="000C041F" w:rsidP="000C041F">
            <w:pPr>
              <w:pStyle w:val="Prrafodelista"/>
              <w:ind w:left="360"/>
              <w:rPr>
                <w:rFonts w:cstheme="minorHAnsi"/>
                <w:i/>
              </w:rPr>
            </w:pPr>
          </w:p>
          <w:p w14:paraId="2FD50EF1" w14:textId="77777777" w:rsidR="000C041F" w:rsidRPr="00D06CF4" w:rsidRDefault="000C041F" w:rsidP="000C041F">
            <w:pPr>
              <w:rPr>
                <w:rFonts w:cstheme="minorHAnsi"/>
                <w:b/>
                <w:i/>
              </w:rPr>
            </w:pPr>
            <w:r w:rsidRPr="00D06CF4">
              <w:rPr>
                <w:rFonts w:cstheme="minorHAnsi"/>
                <w:b/>
                <w:i/>
              </w:rPr>
              <w:t>El OE 2 Promover la reincorporación comunitaria en el territorio, orientada al fortalecimiento del tejido social, la convivencia y la reconciliación.</w:t>
            </w:r>
          </w:p>
          <w:p w14:paraId="1BAAFC29" w14:textId="77777777" w:rsidR="000C041F" w:rsidRPr="0099609B" w:rsidRDefault="000C041F" w:rsidP="000C041F">
            <w:pPr>
              <w:rPr>
                <w:rFonts w:cstheme="minorHAnsi"/>
                <w:i/>
              </w:rPr>
            </w:pPr>
          </w:p>
          <w:p w14:paraId="099864C0" w14:textId="77777777" w:rsidR="000C041F" w:rsidRDefault="000C041F" w:rsidP="00631DF4">
            <w:pPr>
              <w:pStyle w:val="Prrafodelista"/>
              <w:numPr>
                <w:ilvl w:val="0"/>
                <w:numId w:val="39"/>
              </w:numPr>
              <w:rPr>
                <w:rFonts w:cstheme="minorHAnsi"/>
                <w:bCs/>
                <w:color w:val="000000" w:themeColor="text1"/>
              </w:rPr>
            </w:pPr>
            <w:r w:rsidRPr="0093107C">
              <w:rPr>
                <w:rFonts w:cstheme="minorHAnsi"/>
                <w:bCs/>
                <w:color w:val="000000" w:themeColor="text1"/>
              </w:rPr>
              <w:t xml:space="preserve">Las 107 iniciativas económico productivas </w:t>
            </w:r>
            <w:r>
              <w:rPr>
                <w:rFonts w:cstheme="minorHAnsi"/>
                <w:bCs/>
                <w:color w:val="000000" w:themeColor="text1"/>
              </w:rPr>
              <w:t xml:space="preserve">que </w:t>
            </w:r>
            <w:r w:rsidRPr="0093107C">
              <w:rPr>
                <w:rFonts w:cstheme="minorHAnsi"/>
                <w:bCs/>
                <w:color w:val="000000" w:themeColor="text1"/>
              </w:rPr>
              <w:t>fueron aprobados por el Consejo Nacional de Reincorporación (CNR), beneficia</w:t>
            </w:r>
            <w:r>
              <w:rPr>
                <w:rFonts w:cstheme="minorHAnsi"/>
                <w:bCs/>
                <w:color w:val="000000" w:themeColor="text1"/>
              </w:rPr>
              <w:t>ron</w:t>
            </w:r>
            <w:r w:rsidRPr="0093107C">
              <w:rPr>
                <w:rFonts w:cstheme="minorHAnsi"/>
                <w:bCs/>
                <w:color w:val="000000" w:themeColor="text1"/>
              </w:rPr>
              <w:t xml:space="preserve"> a 3.677 personas  (2.649 Hombres y 1.028 Mujeres) vinculados a 82 formas asociativas.</w:t>
            </w:r>
          </w:p>
          <w:p w14:paraId="365DC18A" w14:textId="77777777" w:rsidR="000C041F" w:rsidRPr="0099609B" w:rsidRDefault="000C041F" w:rsidP="00631DF4">
            <w:pPr>
              <w:pStyle w:val="Prrafodelista"/>
              <w:numPr>
                <w:ilvl w:val="0"/>
                <w:numId w:val="39"/>
              </w:numPr>
              <w:rPr>
                <w:rFonts w:cstheme="minorHAnsi"/>
                <w:bCs/>
                <w:color w:val="000000" w:themeColor="text1"/>
              </w:rPr>
            </w:pPr>
            <w:r w:rsidRPr="0099609B">
              <w:rPr>
                <w:rFonts w:cstheme="minorHAnsi"/>
                <w:bCs/>
                <w:color w:val="000000" w:themeColor="text1"/>
              </w:rPr>
              <w:t>4.552 personas participaron de las actividades, iniciativas y jornadas de trabajo en el marco de la implementación de acciones de reincorporación comunitaria, de las cuales 1.081 fueron mujeres y 3.471 hombres.</w:t>
            </w:r>
          </w:p>
          <w:p w14:paraId="45D68FEB" w14:textId="77777777" w:rsidR="000C041F" w:rsidRPr="0099609B" w:rsidRDefault="000C041F" w:rsidP="00631DF4">
            <w:pPr>
              <w:pStyle w:val="Prrafodelista"/>
              <w:numPr>
                <w:ilvl w:val="0"/>
                <w:numId w:val="39"/>
              </w:numPr>
              <w:rPr>
                <w:rFonts w:cstheme="minorHAnsi"/>
                <w:bCs/>
                <w:color w:val="000000" w:themeColor="text1"/>
              </w:rPr>
            </w:pPr>
            <w:r w:rsidRPr="0099609B">
              <w:rPr>
                <w:rFonts w:cstheme="minorHAnsi"/>
                <w:bCs/>
                <w:color w:val="000000" w:themeColor="text1"/>
              </w:rPr>
              <w:t>806 personas beneficiarias en las acciones de prevención temprana y superación de la estigmatización a través de la implementación de procesos de formación, jornadas comunitarias, y fortalecimiento de iniciativas locales.</w:t>
            </w:r>
          </w:p>
          <w:p w14:paraId="535BFA78" w14:textId="77777777" w:rsidR="000C041F" w:rsidRPr="0099609B" w:rsidRDefault="000C041F" w:rsidP="00631DF4">
            <w:pPr>
              <w:pStyle w:val="Prrafodelista"/>
              <w:numPr>
                <w:ilvl w:val="0"/>
                <w:numId w:val="39"/>
              </w:numPr>
              <w:rPr>
                <w:rFonts w:cstheme="minorHAnsi"/>
                <w:bCs/>
                <w:color w:val="000000" w:themeColor="text1"/>
              </w:rPr>
            </w:pPr>
            <w:r w:rsidRPr="0099609B">
              <w:rPr>
                <w:rFonts w:cstheme="minorHAnsi"/>
                <w:bCs/>
                <w:color w:val="000000" w:themeColor="text1"/>
              </w:rPr>
              <w:t xml:space="preserve">316 mujeres han sido beneficiaras de las acciones de fortalecimiento de la ciudadanía activa a través de actividades dirigidas al fortalecimiento de sus capacidades de incidencia local, participación ciudadana, entre otras. </w:t>
            </w:r>
          </w:p>
          <w:p w14:paraId="0AA4AE1B" w14:textId="77777777" w:rsidR="000C041F" w:rsidRPr="00D06CF4" w:rsidRDefault="000C041F" w:rsidP="000C041F">
            <w:pPr>
              <w:pStyle w:val="Prrafodelista"/>
              <w:ind w:left="360"/>
              <w:rPr>
                <w:rFonts w:cstheme="minorHAnsi"/>
                <w:bCs/>
                <w:color w:val="000000" w:themeColor="text1"/>
              </w:rPr>
            </w:pPr>
          </w:p>
          <w:p w14:paraId="6AB7F37C" w14:textId="77777777" w:rsidR="000C041F" w:rsidRPr="00D06CF4" w:rsidRDefault="000C041F" w:rsidP="000C041F">
            <w:pPr>
              <w:rPr>
                <w:rFonts w:cstheme="minorHAnsi"/>
                <w:b/>
                <w:i/>
              </w:rPr>
            </w:pPr>
            <w:r w:rsidRPr="00D06CF4">
              <w:rPr>
                <w:rFonts w:cstheme="minorHAnsi"/>
                <w:b/>
                <w:i/>
              </w:rPr>
              <w:t>El OE 3 Generar condiciones para el acceso a mecanismos y recursos necesarios para la estabilización y proyección económica de exintegrantes de las FARC-EP y sus familias, de acuerdo con sus intereses, necesidades y potenciales.</w:t>
            </w:r>
          </w:p>
          <w:p w14:paraId="2E04C64C" w14:textId="77777777" w:rsidR="000C041F" w:rsidRPr="00D06CF4" w:rsidRDefault="000C041F" w:rsidP="000C041F">
            <w:pPr>
              <w:rPr>
                <w:rFonts w:cstheme="minorHAnsi"/>
                <w:b/>
                <w:i/>
              </w:rPr>
            </w:pPr>
          </w:p>
          <w:p w14:paraId="08381AD1" w14:textId="77777777" w:rsidR="000C041F" w:rsidRPr="00F843BC" w:rsidRDefault="000C041F" w:rsidP="00631DF4">
            <w:pPr>
              <w:pStyle w:val="Prrafodelista"/>
              <w:numPr>
                <w:ilvl w:val="0"/>
                <w:numId w:val="41"/>
              </w:numPr>
              <w:rPr>
                <w:rFonts w:cstheme="minorHAnsi"/>
              </w:rPr>
            </w:pPr>
            <w:r w:rsidRPr="00F843BC">
              <w:rPr>
                <w:rFonts w:cstheme="minorHAnsi"/>
              </w:rPr>
              <w:t>3.677 personas en proceso de reincorporación (2.649 Hombres y 1.028 Mujeres) vinculados a 82 formas asociativas, en 107 iniciativas económico-productivas que se vienen acompañando para su implementación y el encadenamiento solidario entre las comunidades del territorio, los exintegrantes FARC-EP en proceso de reincorporación y las instituciones.</w:t>
            </w:r>
          </w:p>
          <w:p w14:paraId="6B698928" w14:textId="77777777" w:rsidR="000C041F" w:rsidRPr="00F843BC" w:rsidRDefault="000C041F" w:rsidP="00631DF4">
            <w:pPr>
              <w:pStyle w:val="Prrafodelista"/>
              <w:numPr>
                <w:ilvl w:val="0"/>
                <w:numId w:val="41"/>
              </w:numPr>
              <w:rPr>
                <w:rFonts w:cstheme="minorHAnsi"/>
              </w:rPr>
            </w:pPr>
            <w:r w:rsidRPr="00F843BC">
              <w:rPr>
                <w:rFonts w:cstheme="minorHAnsi"/>
              </w:rPr>
              <w:t>150 formas asociativas activas que recibieron fortalecimiento institucional y asociativo, que se encuentran en 23 departamentos y 86 municipios.</w:t>
            </w:r>
          </w:p>
          <w:p w14:paraId="4ABFBD70" w14:textId="77777777" w:rsidR="000C041F" w:rsidRDefault="000C041F" w:rsidP="00631DF4">
            <w:pPr>
              <w:pStyle w:val="Prrafodelista"/>
              <w:numPr>
                <w:ilvl w:val="0"/>
                <w:numId w:val="41"/>
              </w:numPr>
              <w:rPr>
                <w:rFonts w:cstheme="minorHAnsi"/>
              </w:rPr>
            </w:pPr>
            <w:r w:rsidRPr="0099609B">
              <w:rPr>
                <w:rFonts w:cstheme="minorHAnsi"/>
              </w:rPr>
              <w:t>En el primer Encuentro Nacional de Confecciones para la Paz, participaron 30 talleres de confecciones de 22 formas asociativas, en 14 departamentos, que agrupan directamente 270 personas e indirectamente 1.360 personas pertenecientes a reincorporados, familias, victimas, comunidad, migrantes venezolanos en su gran mayoría mujeres que procuran la reincorporación integral y comunitaria de las iniciativas productivas de los reincorporados.</w:t>
            </w:r>
          </w:p>
          <w:p w14:paraId="38D35FE8" w14:textId="77777777" w:rsidR="000C041F" w:rsidRDefault="000C041F" w:rsidP="00631DF4">
            <w:pPr>
              <w:pStyle w:val="Prrafodelista"/>
              <w:numPr>
                <w:ilvl w:val="0"/>
                <w:numId w:val="41"/>
              </w:numPr>
              <w:rPr>
                <w:rFonts w:cstheme="minorHAnsi"/>
              </w:rPr>
            </w:pPr>
            <w:r w:rsidRPr="0099609B">
              <w:rPr>
                <w:rFonts w:cstheme="minorHAnsi"/>
              </w:rPr>
              <w:t>Definición e implementación de las acciones de caracterización socio laboral en el marco de convenio con el Ministerio de Trabajo, que durante el año 2021 se realizaron en los municipios de: Medellín (Antioquia), Quibdó (Chocó), Tumaco (Nariño), Tierralta (Córdoba), Puerto Boyacá (Boyacá), Puerto Berrio (Antioquia), Puerto Triunfo (Doradal) y la Dorada (Caldas).</w:t>
            </w:r>
          </w:p>
          <w:p w14:paraId="2013288A" w14:textId="77777777" w:rsidR="000C041F" w:rsidRDefault="000C041F" w:rsidP="00631DF4">
            <w:pPr>
              <w:pStyle w:val="Prrafodelista"/>
              <w:numPr>
                <w:ilvl w:val="0"/>
                <w:numId w:val="41"/>
              </w:numPr>
              <w:rPr>
                <w:rFonts w:cstheme="minorHAnsi"/>
              </w:rPr>
            </w:pPr>
            <w:r w:rsidRPr="0099609B">
              <w:rPr>
                <w:rFonts w:cstheme="minorHAnsi"/>
              </w:rPr>
              <w:t>De acuerdo al reporte remitido po</w:t>
            </w:r>
            <w:r>
              <w:rPr>
                <w:rFonts w:cstheme="minorHAnsi"/>
              </w:rPr>
              <w:t>r la Agencia Pública de Empleo-</w:t>
            </w:r>
            <w:r w:rsidRPr="0099609B">
              <w:rPr>
                <w:rFonts w:cstheme="minorHAnsi"/>
              </w:rPr>
              <w:t xml:space="preserve">2021, 1.421 persona en proceso de reincorporación (963 hombres- 458 </w:t>
            </w:r>
            <w:r w:rsidRPr="0099609B">
              <w:rPr>
                <w:rFonts w:cstheme="minorHAnsi"/>
              </w:rPr>
              <w:lastRenderedPageBreak/>
              <w:t xml:space="preserve">mujeres) participaron en acciones de orientación ocupacional y 48 personas fueron colocadas entre enero y noviembre (38 hombres- 10 mujeres). </w:t>
            </w:r>
          </w:p>
          <w:p w14:paraId="1A070722" w14:textId="77777777" w:rsidR="000C041F" w:rsidRPr="00F843BC" w:rsidRDefault="000C041F" w:rsidP="00631DF4">
            <w:pPr>
              <w:pStyle w:val="Prrafodelista"/>
              <w:numPr>
                <w:ilvl w:val="0"/>
                <w:numId w:val="41"/>
              </w:numPr>
              <w:rPr>
                <w:rFonts w:cstheme="minorHAnsi"/>
              </w:rPr>
            </w:pPr>
            <w:r w:rsidRPr="0099609B">
              <w:rPr>
                <w:rFonts w:cstheme="minorHAnsi"/>
              </w:rPr>
              <w:t xml:space="preserve">Como resultado para la gestión de la oferta realizada con el sector privado para el impulso de </w:t>
            </w:r>
            <w:r w:rsidRPr="00F843BC">
              <w:rPr>
                <w:rFonts w:cstheme="minorHAnsi"/>
              </w:rPr>
              <w:t>proyectos económicos y productivos, se certificaron 266 personas en entornos de formación.</w:t>
            </w:r>
          </w:p>
          <w:p w14:paraId="1AA96464" w14:textId="77777777" w:rsidR="000C041F" w:rsidRPr="00F843BC" w:rsidRDefault="000C041F" w:rsidP="00631DF4">
            <w:pPr>
              <w:pStyle w:val="Prrafodelista"/>
              <w:numPr>
                <w:ilvl w:val="0"/>
                <w:numId w:val="41"/>
              </w:numPr>
              <w:rPr>
                <w:rFonts w:cstheme="minorHAnsi"/>
              </w:rPr>
            </w:pPr>
            <w:r w:rsidRPr="00F843BC">
              <w:rPr>
                <w:rFonts w:cstheme="minorHAnsi"/>
              </w:rPr>
              <w:t>2.766 mujeres vinculadas a proyectos productivos, individuales o colectivos, o en ruta de inclusión laboral, es decir el 85% de las mujeres cuentan con oportunidades para el desarrollo de su autonomía económica.</w:t>
            </w:r>
          </w:p>
          <w:p w14:paraId="6F7D1D47" w14:textId="77777777" w:rsidR="000C041F" w:rsidRPr="00F843BC" w:rsidRDefault="000C041F" w:rsidP="00631DF4">
            <w:pPr>
              <w:pStyle w:val="Prrafodelista"/>
              <w:numPr>
                <w:ilvl w:val="0"/>
                <w:numId w:val="41"/>
              </w:numPr>
              <w:rPr>
                <w:rFonts w:cstheme="minorHAnsi"/>
              </w:rPr>
            </w:pPr>
            <w:r w:rsidRPr="00F843BC">
              <w:rPr>
                <w:rFonts w:cstheme="minorHAnsi"/>
              </w:rPr>
              <w:t>107 proyectos productivos colectivos aprobados cuentan con enfoque de género en su formulación (100%).</w:t>
            </w:r>
          </w:p>
          <w:p w14:paraId="2DD91B8A" w14:textId="77777777" w:rsidR="000C041F" w:rsidRPr="00F843BC" w:rsidRDefault="000C041F" w:rsidP="00631DF4">
            <w:pPr>
              <w:pStyle w:val="Prrafodelista"/>
              <w:numPr>
                <w:ilvl w:val="0"/>
                <w:numId w:val="41"/>
              </w:numPr>
              <w:rPr>
                <w:rFonts w:cstheme="minorHAnsi"/>
              </w:rPr>
            </w:pPr>
            <w:r w:rsidRPr="00F843BC">
              <w:rPr>
                <w:rFonts w:cstheme="minorHAnsi"/>
              </w:rPr>
              <w:t>3.150 formas asociativas se encuentran activas; de estas, 35 tienen como representante legal una mujer y 16 son asociaciones de mujeres.</w:t>
            </w:r>
          </w:p>
          <w:p w14:paraId="7D024297" w14:textId="77777777" w:rsidR="000C041F" w:rsidRPr="00F843BC" w:rsidRDefault="000C041F" w:rsidP="00631DF4">
            <w:pPr>
              <w:pStyle w:val="Prrafodelista"/>
              <w:numPr>
                <w:ilvl w:val="0"/>
                <w:numId w:val="41"/>
              </w:numPr>
              <w:rPr>
                <w:rFonts w:cstheme="minorHAnsi"/>
              </w:rPr>
            </w:pPr>
            <w:r w:rsidRPr="00F843BC">
              <w:rPr>
                <w:rFonts w:cstheme="minorHAnsi"/>
              </w:rPr>
              <w:t>2.924 mujeres con asignación mensual, es decir el 90% de las mujeres en reincorporación cuentan con la asignación equivalente al 90% SMMLV .</w:t>
            </w:r>
          </w:p>
          <w:p w14:paraId="5AC1834E" w14:textId="77777777" w:rsidR="000C041F" w:rsidRPr="00F843BC" w:rsidRDefault="000C041F" w:rsidP="00631DF4">
            <w:pPr>
              <w:pStyle w:val="Prrafodelista"/>
              <w:numPr>
                <w:ilvl w:val="0"/>
                <w:numId w:val="41"/>
              </w:numPr>
              <w:rPr>
                <w:rFonts w:cstheme="minorHAnsi"/>
              </w:rPr>
            </w:pPr>
            <w:r w:rsidRPr="00F843BC">
              <w:rPr>
                <w:rFonts w:cstheme="minorHAnsi"/>
              </w:rPr>
              <w:t xml:space="preserve">3.071 mujeres en reincorporación se encuentran bancarizadas, lo que representa el 94% del total de mujeres, es decir tiene acceso a una cuenta bancaria que les permite el manejo de sus recursos. </w:t>
            </w:r>
          </w:p>
          <w:p w14:paraId="4CD72944" w14:textId="77777777" w:rsidR="000C041F" w:rsidRPr="0099609B" w:rsidRDefault="000C041F" w:rsidP="00631DF4">
            <w:pPr>
              <w:pStyle w:val="Prrafodelista"/>
              <w:numPr>
                <w:ilvl w:val="0"/>
                <w:numId w:val="41"/>
              </w:numPr>
              <w:rPr>
                <w:rFonts w:cstheme="minorHAnsi"/>
              </w:rPr>
            </w:pPr>
            <w:r w:rsidRPr="00F843BC">
              <w:rPr>
                <w:rFonts w:cstheme="minorHAnsi"/>
              </w:rPr>
              <w:t xml:space="preserve">6. 107 proyectos productivos colectivos </w:t>
            </w:r>
            <w:r w:rsidRPr="0099609B">
              <w:rPr>
                <w:rFonts w:cstheme="minorHAnsi"/>
                <w:color w:val="000000"/>
              </w:rPr>
              <w:t>incorporaran el enfoque de género en su formulación, por medio de la matriz de evaluación de proyectos construida en conjunto con generación de ingresos. Logrando que el 100% de los proyectos aprobados tengan incorporado el enfoque.</w:t>
            </w:r>
          </w:p>
          <w:p w14:paraId="7556FF0D" w14:textId="77777777" w:rsidR="000C041F" w:rsidRPr="0099609B" w:rsidRDefault="000C041F" w:rsidP="00631DF4">
            <w:pPr>
              <w:pStyle w:val="Prrafodelista"/>
              <w:numPr>
                <w:ilvl w:val="0"/>
                <w:numId w:val="41"/>
              </w:numPr>
              <w:rPr>
                <w:rFonts w:cstheme="minorHAnsi"/>
              </w:rPr>
            </w:pPr>
            <w:r w:rsidRPr="0099609B">
              <w:rPr>
                <w:rFonts w:cstheme="minorHAnsi"/>
                <w:color w:val="000000"/>
              </w:rPr>
              <w:t xml:space="preserve">475 mujeres beneficiadas con la adecuación o construcción de espacios para el cuidado de niños y niñas en 18 </w:t>
            </w:r>
            <w:r>
              <w:rPr>
                <w:rFonts w:cstheme="minorHAnsi"/>
                <w:color w:val="000000"/>
              </w:rPr>
              <w:t>a</w:t>
            </w:r>
            <w:r w:rsidRPr="0099609B">
              <w:rPr>
                <w:rFonts w:cstheme="minorHAnsi"/>
                <w:color w:val="000000"/>
              </w:rPr>
              <w:t>ntiguos ETCR, y con la participación en planes comunitarios de cuidado, para la dism</w:t>
            </w:r>
            <w:r>
              <w:rPr>
                <w:rFonts w:cstheme="minorHAnsi"/>
                <w:color w:val="000000"/>
              </w:rPr>
              <w:t>inución de brechas de cuidado.</w:t>
            </w:r>
          </w:p>
          <w:p w14:paraId="25837E66" w14:textId="77777777" w:rsidR="000C041F" w:rsidRPr="0099609B" w:rsidRDefault="000C041F" w:rsidP="00631DF4">
            <w:pPr>
              <w:pStyle w:val="Prrafodelista"/>
              <w:numPr>
                <w:ilvl w:val="0"/>
                <w:numId w:val="41"/>
              </w:numPr>
              <w:rPr>
                <w:rFonts w:cstheme="minorHAnsi"/>
              </w:rPr>
            </w:pPr>
            <w:r w:rsidRPr="00F843BC">
              <w:rPr>
                <w:rFonts w:cstheme="minorHAnsi"/>
              </w:rPr>
              <w:t xml:space="preserve">Construcción de matrices de necesidad e intereses de las mujeres en reincorporación con la participación de 160 mujeres de los departamentos de Meta, Antioquia, Cauca, Caquetá, Nariño y Putumayo; en articulación </w:t>
            </w:r>
            <w:r w:rsidRPr="0099609B">
              <w:rPr>
                <w:rFonts w:cstheme="minorHAnsi"/>
                <w:color w:val="000000"/>
              </w:rPr>
              <w:t>con la Mesa Técnica de Género.</w:t>
            </w:r>
          </w:p>
          <w:p w14:paraId="4094DF74" w14:textId="77777777" w:rsidR="000C041F" w:rsidRPr="00D06CF4" w:rsidRDefault="000C041F" w:rsidP="000C041F">
            <w:pPr>
              <w:rPr>
                <w:rFonts w:cstheme="minorHAnsi"/>
                <w:b/>
                <w:i/>
              </w:rPr>
            </w:pPr>
          </w:p>
          <w:p w14:paraId="2A4D3B29" w14:textId="77777777" w:rsidR="000C041F" w:rsidRPr="00D06CF4" w:rsidRDefault="000C041F" w:rsidP="000C041F">
            <w:pPr>
              <w:rPr>
                <w:rFonts w:cstheme="minorHAnsi"/>
                <w:b/>
                <w:i/>
              </w:rPr>
            </w:pPr>
            <w:r w:rsidRPr="00D06CF4">
              <w:rPr>
                <w:rFonts w:cstheme="minorHAnsi"/>
                <w:b/>
                <w:i/>
              </w:rPr>
              <w:t>El OE 4 Generar condiciones para el acceso y la atención de los derechos fundamentales e integrales de exintegrantes de las FARC - EP y sus familias</w:t>
            </w:r>
          </w:p>
          <w:p w14:paraId="6FE35B73" w14:textId="77777777" w:rsidR="000C041F" w:rsidRPr="00D06CF4" w:rsidRDefault="000C041F" w:rsidP="000C041F">
            <w:pPr>
              <w:rPr>
                <w:rFonts w:cstheme="minorHAnsi"/>
                <w:i/>
              </w:rPr>
            </w:pPr>
          </w:p>
          <w:p w14:paraId="00383687" w14:textId="77777777" w:rsidR="000C041F" w:rsidRPr="00F843BC" w:rsidRDefault="000C041F" w:rsidP="00631DF4">
            <w:pPr>
              <w:pStyle w:val="Prrafodelista"/>
              <w:numPr>
                <w:ilvl w:val="0"/>
                <w:numId w:val="42"/>
              </w:numPr>
              <w:rPr>
                <w:rFonts w:cstheme="minorHAnsi"/>
              </w:rPr>
            </w:pPr>
            <w:r w:rsidRPr="00F843BC">
              <w:rPr>
                <w:rFonts w:cstheme="minorHAnsi"/>
              </w:rPr>
              <w:t>2.124 mujeres, entre 2019 y 2021, atendidas en derechos sexuales y reproductivos. Por medio del convenio con el British Council, el contrato con ISEGORIA y el proyecto Salud para la Paz.</w:t>
            </w:r>
          </w:p>
          <w:p w14:paraId="07909451" w14:textId="77777777" w:rsidR="000C041F" w:rsidRPr="00F843BC" w:rsidRDefault="000C041F" w:rsidP="00631DF4">
            <w:pPr>
              <w:pStyle w:val="Prrafodelista"/>
              <w:numPr>
                <w:ilvl w:val="0"/>
                <w:numId w:val="42"/>
              </w:numPr>
              <w:rPr>
                <w:rFonts w:cstheme="minorHAnsi"/>
              </w:rPr>
            </w:pPr>
            <w:r w:rsidRPr="00F843BC">
              <w:rPr>
                <w:rFonts w:cstheme="minorHAnsi"/>
              </w:rPr>
              <w:t xml:space="preserve">En 2021, se realizaron 12 brigadas de salud en las que se entregaron 288 métodos de planificación: 249 implantes, 35 inyectables, 7 orales.  </w:t>
            </w:r>
          </w:p>
          <w:p w14:paraId="50968E8A" w14:textId="77777777" w:rsidR="000C041F" w:rsidRPr="00F843BC" w:rsidRDefault="000C041F" w:rsidP="00631DF4">
            <w:pPr>
              <w:pStyle w:val="Prrafodelista"/>
              <w:numPr>
                <w:ilvl w:val="0"/>
                <w:numId w:val="42"/>
              </w:numPr>
              <w:rPr>
                <w:rFonts w:cstheme="minorHAnsi"/>
              </w:rPr>
            </w:pPr>
            <w:r w:rsidRPr="00F843BC">
              <w:rPr>
                <w:rFonts w:cstheme="minorHAnsi"/>
              </w:rPr>
              <w:t>3.221 mujeres se encuentran afiliadas y en estado activo al sistema de salud, es decir el 99% de las mujeres de reincorporación.</w:t>
            </w:r>
          </w:p>
          <w:p w14:paraId="3AE7254E" w14:textId="77777777" w:rsidR="000C041F" w:rsidRPr="00F843BC" w:rsidRDefault="000C041F" w:rsidP="00631DF4">
            <w:pPr>
              <w:pStyle w:val="Prrafodelista"/>
              <w:numPr>
                <w:ilvl w:val="0"/>
                <w:numId w:val="42"/>
              </w:numPr>
              <w:rPr>
                <w:rFonts w:cstheme="minorHAnsi"/>
              </w:rPr>
            </w:pPr>
            <w:r w:rsidRPr="00F843BC">
              <w:rPr>
                <w:rFonts w:cstheme="minorHAnsi"/>
              </w:rPr>
              <w:t>154 personas participaron de espacios para promover el respeto y no discriminación hacia personas de los sectores LGBTI en proceso de reincorporación.</w:t>
            </w:r>
          </w:p>
          <w:p w14:paraId="508F0271" w14:textId="77777777" w:rsidR="000C041F" w:rsidRPr="00F843BC" w:rsidRDefault="000C041F" w:rsidP="00631DF4">
            <w:pPr>
              <w:pStyle w:val="Prrafodelista"/>
              <w:numPr>
                <w:ilvl w:val="0"/>
                <w:numId w:val="42"/>
              </w:numPr>
              <w:rPr>
                <w:rFonts w:cstheme="minorHAnsi"/>
              </w:rPr>
            </w:pPr>
            <w:r w:rsidRPr="00F843BC">
              <w:rPr>
                <w:rFonts w:cstheme="minorHAnsi"/>
              </w:rPr>
              <w:lastRenderedPageBreak/>
              <w:t>643 personas participaron en la promoción de estrategias para la prevención, atención y sanción de las violencias basadas en género, en 16 territorios focalizados.</w:t>
            </w:r>
          </w:p>
          <w:p w14:paraId="195D927A" w14:textId="77777777" w:rsidR="000C041F" w:rsidRPr="00F843BC" w:rsidRDefault="000C041F" w:rsidP="00631DF4">
            <w:pPr>
              <w:pStyle w:val="Prrafodelista"/>
              <w:numPr>
                <w:ilvl w:val="0"/>
                <w:numId w:val="42"/>
              </w:numPr>
              <w:rPr>
                <w:rFonts w:cstheme="minorHAnsi"/>
              </w:rPr>
            </w:pPr>
            <w:r w:rsidRPr="00F843BC">
              <w:rPr>
                <w:rFonts w:eastAsia="Times New Roman" w:cstheme="minorHAnsi"/>
                <w:lang w:eastAsia="es-CO"/>
              </w:rPr>
              <w:t xml:space="preserve">118 personas jóvenes en proceso vinculadas al Programa Camino Diferencial de Vida (67 mujeres y 51 hombres; 19 se autorreconocidas como indígenas y 7 personas como negras, afrocolombianas; 2 con discapacidad). </w:t>
            </w:r>
          </w:p>
          <w:p w14:paraId="35C91B9A"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 xml:space="preserve">568 personas en proceso de reincorporación mayores de 60 años beneficiarias de atención diferencial (57 mujeres y 511 hombres; 50 autorreconocidas como indígenas, 32 personas autorreconocidas como negras o afrocolombianas y 1 persona autorreconocida como palanquera) </w:t>
            </w:r>
          </w:p>
          <w:p w14:paraId="7F34AF25"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555 personas mayores de 60 años cuentan con apertura de cuentas bancarias, el total de las personas ha recibido la asignación única, 19 reciben básica y 535 asignación mensual. </w:t>
            </w:r>
          </w:p>
          <w:p w14:paraId="2330143B"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Durante el año 2021, 164 personas mayores de 60 años adelantaron procesos de formación académica.</w:t>
            </w:r>
          </w:p>
          <w:p w14:paraId="0684E398"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 xml:space="preserve">2.294 personas jóvenes cuentan con el registro de bancarización. </w:t>
            </w:r>
          </w:p>
          <w:p w14:paraId="331BEEA0"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 xml:space="preserve">786 personas jóvenes estuvieron vinculadas a proceso de formación académica (283 mujeres y 503 hombres) </w:t>
            </w:r>
          </w:p>
          <w:p w14:paraId="519E30A3"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eastAsia="Times New Roman" w:cstheme="minorHAnsi"/>
                <w:lang w:eastAsia="es-CO"/>
              </w:rPr>
              <w:t>466 personas jóvenes reportaron asistencias a procesos de formación para el trabajo (234 mujeres y 232 hombres).</w:t>
            </w:r>
          </w:p>
          <w:p w14:paraId="3CBCC61D" w14:textId="77777777" w:rsidR="000C041F" w:rsidRPr="00F843BC" w:rsidRDefault="000C041F" w:rsidP="00631DF4">
            <w:pPr>
              <w:pStyle w:val="Prrafodelista"/>
              <w:numPr>
                <w:ilvl w:val="0"/>
                <w:numId w:val="42"/>
              </w:numPr>
              <w:rPr>
                <w:rFonts w:eastAsia="Times New Roman" w:cstheme="minorHAnsi"/>
                <w:lang w:eastAsia="es-CO"/>
              </w:rPr>
            </w:pPr>
            <w:r w:rsidRPr="00F843BC">
              <w:rPr>
                <w:rFonts w:cstheme="minorHAnsi"/>
              </w:rPr>
              <w:t>4.431 (1.049 mujeres, 3.382 hombres) personas exintegrantes FARC en reincorporación se vincularon a formación académica.</w:t>
            </w:r>
          </w:p>
          <w:p w14:paraId="163CF6D3" w14:textId="77777777" w:rsidR="000C041F" w:rsidRPr="000C041F" w:rsidRDefault="000C041F" w:rsidP="00631DF4">
            <w:pPr>
              <w:pStyle w:val="Prrafodelista"/>
              <w:numPr>
                <w:ilvl w:val="0"/>
                <w:numId w:val="42"/>
              </w:numPr>
              <w:rPr>
                <w:rFonts w:eastAsia="Times New Roman" w:cstheme="minorHAnsi"/>
                <w:lang w:eastAsia="es-CO"/>
              </w:rPr>
            </w:pPr>
            <w:r w:rsidRPr="00F843BC">
              <w:rPr>
                <w:rFonts w:cstheme="minorHAnsi"/>
              </w:rPr>
              <w:t>3.178 (970 mujeres, 2.208 hombres) personas exintegrantes FARC en reincorporación se vincularon a formación para el trabajo.</w:t>
            </w:r>
          </w:p>
          <w:p w14:paraId="1CD1A98E" w14:textId="3BD5B214" w:rsidR="00986AA1" w:rsidRPr="00920919" w:rsidRDefault="000C041F" w:rsidP="00631DF4">
            <w:pPr>
              <w:pStyle w:val="Prrafodelista"/>
              <w:numPr>
                <w:ilvl w:val="0"/>
                <w:numId w:val="42"/>
              </w:numPr>
              <w:rPr>
                <w:sz w:val="24"/>
                <w:szCs w:val="24"/>
              </w:rPr>
            </w:pPr>
            <w:r w:rsidRPr="000C041F">
              <w:rPr>
                <w:rFonts w:cstheme="minorHAnsi"/>
              </w:rPr>
              <w:t>7.914 (2.082 mujeres, 5.832 hombres) personas en proceso de reincorporación acompañadas por los profesionales facilitadores en los antiguos ETCR y Grupos Territoriales a través de las actividades de orientación para el acceso a educación y formación para el trabajo, con el fin de fomentar la continuidad en el proceso educativo y promover el acceso a la educación superior.</w:t>
            </w:r>
          </w:p>
        </w:tc>
      </w:tr>
      <w:tr w:rsidR="00986AA1" w:rsidRPr="00920919" w14:paraId="74EFDC49" w14:textId="77777777" w:rsidTr="00715628">
        <w:tc>
          <w:tcPr>
            <w:tcW w:w="1056" w:type="dxa"/>
            <w:tcBorders>
              <w:top w:val="single" w:sz="4" w:space="0" w:color="0070C0"/>
              <w:left w:val="single" w:sz="4" w:space="0" w:color="0070C0"/>
              <w:bottom w:val="single" w:sz="4" w:space="0" w:color="0070C0"/>
            </w:tcBorders>
            <w:vAlign w:val="center"/>
          </w:tcPr>
          <w:p w14:paraId="024E6006" w14:textId="77777777" w:rsidR="00986AA1" w:rsidRPr="00920919" w:rsidRDefault="00986AA1" w:rsidP="00715628">
            <w:pPr>
              <w:jc w:val="center"/>
            </w:pPr>
            <w:r w:rsidRPr="00920919">
              <w:rPr>
                <w:noProof/>
                <w:color w:val="3366CC"/>
                <w:lang w:eastAsia="es-CO"/>
              </w:rPr>
              <w:lastRenderedPageBreak/>
              <w:drawing>
                <wp:inline distT="0" distB="0" distL="0" distR="0" wp14:anchorId="66E9FED1" wp14:editId="39E17CDB">
                  <wp:extent cx="958850" cy="861695"/>
                  <wp:effectExtent l="0" t="0" r="0" b="0"/>
                  <wp:docPr id="1479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772" w:type="dxa"/>
            <w:tcBorders>
              <w:top w:val="single" w:sz="4" w:space="0" w:color="0070C0"/>
              <w:bottom w:val="single" w:sz="4" w:space="0" w:color="0070C0"/>
              <w:right w:val="single" w:sz="4" w:space="0" w:color="0070C0"/>
            </w:tcBorders>
          </w:tcPr>
          <w:p w14:paraId="13C67CA8" w14:textId="77777777" w:rsidR="00986AA1" w:rsidRPr="00920919" w:rsidRDefault="00986AA1" w:rsidP="00715628">
            <w:pPr>
              <w:jc w:val="both"/>
              <w:rPr>
                <w:color w:val="002060"/>
                <w:sz w:val="28"/>
                <w:szCs w:val="28"/>
              </w:rPr>
            </w:pPr>
            <w:r w:rsidRPr="00920919">
              <w:rPr>
                <w:color w:val="002060"/>
                <w:sz w:val="28"/>
                <w:szCs w:val="28"/>
              </w:rPr>
              <w:t>¿Qué desafíos y retos tuvimos para el cumplimiento?</w:t>
            </w:r>
          </w:p>
          <w:p w14:paraId="3644DD56" w14:textId="77777777" w:rsidR="00670D21" w:rsidRDefault="00670D21" w:rsidP="00E82A24">
            <w:pPr>
              <w:jc w:val="both"/>
              <w:rPr>
                <w:sz w:val="24"/>
                <w:szCs w:val="24"/>
              </w:rPr>
            </w:pPr>
          </w:p>
          <w:p w14:paraId="753396B9" w14:textId="60BC6393" w:rsidR="00E82A24" w:rsidRPr="0066516F" w:rsidRDefault="00E82A24" w:rsidP="00E82A24">
            <w:pPr>
              <w:jc w:val="both"/>
              <w:rPr>
                <w:sz w:val="24"/>
                <w:szCs w:val="24"/>
              </w:rPr>
            </w:pPr>
            <w:r w:rsidRPr="0066516F">
              <w:rPr>
                <w:sz w:val="24"/>
                <w:szCs w:val="24"/>
              </w:rPr>
              <w:t>Respecto a los desafíos que se han presentado en 2021 para la implementación del CONPES 3931, se ha podido evidenciar lo siguiente:</w:t>
            </w:r>
          </w:p>
          <w:p w14:paraId="5FED67E2" w14:textId="77777777" w:rsidR="00670D21" w:rsidRDefault="00670D21" w:rsidP="00E82A24">
            <w:pPr>
              <w:jc w:val="both"/>
              <w:rPr>
                <w:sz w:val="24"/>
                <w:szCs w:val="24"/>
              </w:rPr>
            </w:pPr>
          </w:p>
          <w:p w14:paraId="572A408D" w14:textId="18967AB0" w:rsidR="00E82A24" w:rsidRDefault="00E82A24" w:rsidP="00E82A24">
            <w:pPr>
              <w:jc w:val="both"/>
              <w:rPr>
                <w:sz w:val="24"/>
                <w:szCs w:val="24"/>
              </w:rPr>
            </w:pPr>
            <w:r>
              <w:rPr>
                <w:sz w:val="24"/>
                <w:szCs w:val="24"/>
              </w:rPr>
              <w:t>Temas productivos</w:t>
            </w:r>
          </w:p>
          <w:p w14:paraId="0AFB391E" w14:textId="77777777" w:rsidR="00E82A24" w:rsidRPr="0079411B" w:rsidRDefault="00E82A24" w:rsidP="00670D21">
            <w:pPr>
              <w:numPr>
                <w:ilvl w:val="0"/>
                <w:numId w:val="50"/>
              </w:numPr>
              <w:tabs>
                <w:tab w:val="clear" w:pos="720"/>
                <w:tab w:val="num" w:pos="423"/>
              </w:tabs>
              <w:ind w:left="423"/>
              <w:jc w:val="both"/>
              <w:rPr>
                <w:sz w:val="24"/>
                <w:szCs w:val="24"/>
                <w:lang w:val="es-CO"/>
              </w:rPr>
            </w:pPr>
            <w:r>
              <w:rPr>
                <w:sz w:val="24"/>
                <w:szCs w:val="24"/>
                <w:lang w:val="es-CO"/>
              </w:rPr>
              <w:t>Promover la r</w:t>
            </w:r>
            <w:r w:rsidRPr="0079411B">
              <w:rPr>
                <w:sz w:val="24"/>
                <w:szCs w:val="24"/>
                <w:lang w:val="es-CO"/>
              </w:rPr>
              <w:t xml:space="preserve">eactivación económica </w:t>
            </w:r>
            <w:r>
              <w:rPr>
                <w:sz w:val="24"/>
                <w:szCs w:val="24"/>
                <w:lang w:val="es-CO"/>
              </w:rPr>
              <w:t>de las iniciativas productivas que se vieron afectadas tanto por la</w:t>
            </w:r>
            <w:r w:rsidRPr="0079411B">
              <w:rPr>
                <w:sz w:val="24"/>
                <w:szCs w:val="24"/>
                <w:lang w:val="es-CO"/>
              </w:rPr>
              <w:t xml:space="preserve"> emergencia sanitaria </w:t>
            </w:r>
            <w:r>
              <w:rPr>
                <w:sz w:val="24"/>
                <w:szCs w:val="24"/>
                <w:lang w:val="es-CO"/>
              </w:rPr>
              <w:t>y</w:t>
            </w:r>
            <w:r w:rsidRPr="0079411B">
              <w:rPr>
                <w:sz w:val="24"/>
                <w:szCs w:val="24"/>
                <w:lang w:val="es-CO"/>
              </w:rPr>
              <w:t xml:space="preserve"> Paro Nacional</w:t>
            </w:r>
            <w:r>
              <w:rPr>
                <w:sz w:val="24"/>
                <w:szCs w:val="24"/>
                <w:lang w:val="es-CO"/>
              </w:rPr>
              <w:t>, a través de medidas de fortalecimiento.</w:t>
            </w:r>
          </w:p>
          <w:p w14:paraId="62CAE9D8" w14:textId="77777777" w:rsidR="00E82A24" w:rsidRPr="0079411B" w:rsidRDefault="00E82A24" w:rsidP="00670D21">
            <w:pPr>
              <w:numPr>
                <w:ilvl w:val="0"/>
                <w:numId w:val="50"/>
              </w:numPr>
              <w:tabs>
                <w:tab w:val="clear" w:pos="720"/>
                <w:tab w:val="num" w:pos="423"/>
              </w:tabs>
              <w:ind w:left="423"/>
              <w:jc w:val="both"/>
              <w:rPr>
                <w:sz w:val="24"/>
                <w:szCs w:val="24"/>
                <w:lang w:val="es-CO"/>
              </w:rPr>
            </w:pPr>
            <w:r>
              <w:rPr>
                <w:sz w:val="24"/>
                <w:szCs w:val="24"/>
                <w:lang w:val="es-CO"/>
              </w:rPr>
              <w:t xml:space="preserve">Desarrollar estrategias para </w:t>
            </w:r>
            <w:r w:rsidRPr="0079411B">
              <w:rPr>
                <w:sz w:val="24"/>
                <w:szCs w:val="24"/>
                <w:lang w:val="es-CO"/>
              </w:rPr>
              <w:t>el fortalecimiento de las formas asociativas</w:t>
            </w:r>
            <w:r>
              <w:rPr>
                <w:sz w:val="24"/>
                <w:szCs w:val="24"/>
                <w:lang w:val="es-CO"/>
              </w:rPr>
              <w:t xml:space="preserve"> con el fin de poder superar los limitantes existentes ante un presupuesto reducido.</w:t>
            </w:r>
          </w:p>
          <w:p w14:paraId="1D79FB48" w14:textId="77777777" w:rsidR="00E82A24" w:rsidRDefault="00E82A24" w:rsidP="00670D21">
            <w:pPr>
              <w:numPr>
                <w:ilvl w:val="0"/>
                <w:numId w:val="50"/>
              </w:numPr>
              <w:tabs>
                <w:tab w:val="clear" w:pos="720"/>
                <w:tab w:val="num" w:pos="423"/>
              </w:tabs>
              <w:ind w:left="423"/>
              <w:jc w:val="both"/>
              <w:rPr>
                <w:sz w:val="24"/>
                <w:szCs w:val="24"/>
                <w:lang w:val="es-CO"/>
              </w:rPr>
            </w:pPr>
            <w:r>
              <w:rPr>
                <w:sz w:val="24"/>
                <w:szCs w:val="24"/>
                <w:lang w:val="es-CO"/>
              </w:rPr>
              <w:lastRenderedPageBreak/>
              <w:t xml:space="preserve">Se establecieron los criterios de </w:t>
            </w:r>
            <w:r w:rsidRPr="0079411B">
              <w:rPr>
                <w:sz w:val="24"/>
                <w:szCs w:val="24"/>
                <w:lang w:val="es-CO"/>
              </w:rPr>
              <w:t>sostenibilidad</w:t>
            </w:r>
            <w:r>
              <w:rPr>
                <w:sz w:val="24"/>
                <w:szCs w:val="24"/>
                <w:lang w:val="es-CO"/>
              </w:rPr>
              <w:t xml:space="preserve"> de los proyectos productivos, con el fin de dar respuesta a las necesidades de proyección a mediano y largo plazo.</w:t>
            </w:r>
          </w:p>
          <w:p w14:paraId="6BA9BDA3" w14:textId="77777777" w:rsidR="00E82A24" w:rsidRPr="0079411B" w:rsidRDefault="00E82A24" w:rsidP="00E82A24">
            <w:pPr>
              <w:ind w:left="720"/>
              <w:jc w:val="both"/>
              <w:rPr>
                <w:sz w:val="24"/>
                <w:szCs w:val="24"/>
                <w:lang w:val="es-CO"/>
              </w:rPr>
            </w:pPr>
          </w:p>
          <w:p w14:paraId="69DD172A" w14:textId="77777777" w:rsidR="00E82A24" w:rsidRDefault="00E82A24" w:rsidP="00E82A24">
            <w:pPr>
              <w:jc w:val="both"/>
              <w:rPr>
                <w:sz w:val="24"/>
                <w:szCs w:val="24"/>
              </w:rPr>
            </w:pPr>
            <w:r>
              <w:rPr>
                <w:sz w:val="24"/>
                <w:szCs w:val="24"/>
              </w:rPr>
              <w:t>Temas de Familia</w:t>
            </w:r>
          </w:p>
          <w:p w14:paraId="61CE9753" w14:textId="77777777" w:rsidR="00E82A24" w:rsidRPr="0079411B" w:rsidRDefault="00E82A24" w:rsidP="00670D21">
            <w:pPr>
              <w:pStyle w:val="Prrafodelista"/>
              <w:numPr>
                <w:ilvl w:val="0"/>
                <w:numId w:val="51"/>
              </w:numPr>
              <w:ind w:left="423"/>
              <w:rPr>
                <w:sz w:val="24"/>
                <w:szCs w:val="24"/>
                <w:lang w:val="es-CO"/>
              </w:rPr>
            </w:pPr>
            <w:r>
              <w:rPr>
                <w:sz w:val="24"/>
                <w:szCs w:val="24"/>
                <w:lang w:val="es-MX"/>
              </w:rPr>
              <w:t>Se gestionó con las entidades encargadas de la oferta institucional, el intercambio de informac</w:t>
            </w:r>
            <w:r w:rsidRPr="0079411B">
              <w:rPr>
                <w:sz w:val="24"/>
                <w:szCs w:val="24"/>
                <w:lang w:val="es-MX"/>
              </w:rPr>
              <w:t>ión efectivo y oportuno</w:t>
            </w:r>
            <w:r>
              <w:rPr>
                <w:sz w:val="24"/>
                <w:szCs w:val="24"/>
                <w:lang w:val="es-MX"/>
              </w:rPr>
              <w:t xml:space="preserve"> con el fin de que las familias, especialmente, hijos e hijas de excombatientes pudieran acceder a los programas de salud, educación, recreación y deporte, inclusión social existentes.</w:t>
            </w:r>
          </w:p>
          <w:p w14:paraId="018E87A3" w14:textId="77777777" w:rsidR="00670D21" w:rsidRDefault="00670D21" w:rsidP="00E82A24">
            <w:pPr>
              <w:rPr>
                <w:sz w:val="24"/>
                <w:szCs w:val="24"/>
                <w:lang w:val="es-CO"/>
              </w:rPr>
            </w:pPr>
          </w:p>
          <w:p w14:paraId="4D9028AA" w14:textId="5B91C063" w:rsidR="00E82A24" w:rsidRDefault="00E82A24" w:rsidP="00E82A24">
            <w:pPr>
              <w:rPr>
                <w:sz w:val="24"/>
                <w:szCs w:val="24"/>
                <w:lang w:val="es-CO"/>
              </w:rPr>
            </w:pPr>
            <w:r>
              <w:rPr>
                <w:sz w:val="24"/>
                <w:szCs w:val="24"/>
                <w:lang w:val="es-CO"/>
              </w:rPr>
              <w:t>Temas Educativos</w:t>
            </w:r>
          </w:p>
          <w:p w14:paraId="2E74CF9C" w14:textId="77777777" w:rsidR="00E82A24" w:rsidRPr="0079411B" w:rsidRDefault="00E82A24" w:rsidP="00670D21">
            <w:pPr>
              <w:pStyle w:val="Prrafodelista"/>
              <w:numPr>
                <w:ilvl w:val="0"/>
                <w:numId w:val="51"/>
              </w:numPr>
              <w:ind w:left="423"/>
              <w:rPr>
                <w:sz w:val="24"/>
                <w:szCs w:val="24"/>
                <w:lang w:val="es-CO"/>
              </w:rPr>
            </w:pPr>
            <w:r>
              <w:rPr>
                <w:sz w:val="24"/>
                <w:szCs w:val="24"/>
                <w:lang w:val="es-CO"/>
              </w:rPr>
              <w:t xml:space="preserve">Se fomentó la vinculación de las personas en reincorporación a </w:t>
            </w:r>
            <w:r w:rsidRPr="0079411B">
              <w:rPr>
                <w:sz w:val="24"/>
                <w:szCs w:val="24"/>
                <w:lang w:val="es-CO"/>
              </w:rPr>
              <w:t xml:space="preserve">básica </w:t>
            </w:r>
            <w:r>
              <w:rPr>
                <w:sz w:val="24"/>
                <w:szCs w:val="24"/>
                <w:lang w:val="es-CO"/>
              </w:rPr>
              <w:t>primaria y su continuidad en la educación media y bachillerato, a través de los convenios y estrategias de educación liderados por la entidad como Maestro Itinerante, Arando la Educación o Tejiendo Saberes.</w:t>
            </w:r>
          </w:p>
          <w:p w14:paraId="524D62F2" w14:textId="77777777" w:rsidR="00E82A24" w:rsidRDefault="00E82A24" w:rsidP="00670D21">
            <w:pPr>
              <w:pStyle w:val="Prrafodelista"/>
              <w:numPr>
                <w:ilvl w:val="0"/>
                <w:numId w:val="51"/>
              </w:numPr>
              <w:ind w:left="423"/>
              <w:rPr>
                <w:sz w:val="24"/>
                <w:szCs w:val="24"/>
                <w:lang w:val="es-CO"/>
              </w:rPr>
            </w:pPr>
            <w:r>
              <w:rPr>
                <w:sz w:val="24"/>
                <w:szCs w:val="24"/>
                <w:lang w:val="es-CO"/>
              </w:rPr>
              <w:t>Generación de sinergias con las secretarías de Educación Departamentales y Municipales con el fin de promover la v</w:t>
            </w:r>
            <w:r w:rsidRPr="0079411B">
              <w:rPr>
                <w:sz w:val="24"/>
                <w:szCs w:val="24"/>
                <w:lang w:val="es-CO"/>
              </w:rPr>
              <w:t>inculación a oferta pública de la población en reincorporación.</w:t>
            </w:r>
          </w:p>
          <w:p w14:paraId="7DD9BE7E" w14:textId="77777777" w:rsidR="00E82A24" w:rsidRDefault="00E82A24" w:rsidP="00670D21">
            <w:pPr>
              <w:pStyle w:val="Prrafodelista"/>
              <w:numPr>
                <w:ilvl w:val="0"/>
                <w:numId w:val="51"/>
              </w:numPr>
              <w:ind w:left="423"/>
              <w:rPr>
                <w:sz w:val="24"/>
                <w:szCs w:val="24"/>
                <w:lang w:val="es-CO"/>
              </w:rPr>
            </w:pPr>
            <w:r>
              <w:rPr>
                <w:sz w:val="24"/>
                <w:szCs w:val="24"/>
                <w:lang w:val="es-CO"/>
              </w:rPr>
              <w:t>Generación del convenio con el ICETEX y con universidades Públicas y Privadas para la v</w:t>
            </w:r>
            <w:r w:rsidRPr="0079411B">
              <w:rPr>
                <w:sz w:val="24"/>
                <w:szCs w:val="24"/>
                <w:lang w:val="es-CO"/>
              </w:rPr>
              <w:t>inculación de personas en reincorporación a educación superior.</w:t>
            </w:r>
          </w:p>
          <w:p w14:paraId="235EF4DA" w14:textId="77777777" w:rsidR="00670D21" w:rsidRDefault="00670D21" w:rsidP="00E82A24">
            <w:pPr>
              <w:rPr>
                <w:sz w:val="24"/>
                <w:szCs w:val="24"/>
                <w:lang w:val="es-CO"/>
              </w:rPr>
            </w:pPr>
          </w:p>
          <w:p w14:paraId="256DED26" w14:textId="53F61A62" w:rsidR="00E82A24" w:rsidRDefault="00E82A24" w:rsidP="00E82A24">
            <w:pPr>
              <w:rPr>
                <w:sz w:val="24"/>
                <w:szCs w:val="24"/>
                <w:lang w:val="es-CO"/>
              </w:rPr>
            </w:pPr>
            <w:r>
              <w:rPr>
                <w:sz w:val="24"/>
                <w:szCs w:val="24"/>
                <w:lang w:val="es-CO"/>
              </w:rPr>
              <w:t>Temas en Salud</w:t>
            </w:r>
          </w:p>
          <w:p w14:paraId="052F8A93" w14:textId="77777777" w:rsidR="00E82A24" w:rsidRPr="009A5BD6" w:rsidRDefault="00E82A24" w:rsidP="00670D21">
            <w:pPr>
              <w:pStyle w:val="Prrafodelista"/>
              <w:numPr>
                <w:ilvl w:val="0"/>
                <w:numId w:val="52"/>
              </w:numPr>
              <w:ind w:left="423"/>
              <w:rPr>
                <w:sz w:val="24"/>
                <w:szCs w:val="24"/>
                <w:lang w:val="es-CO"/>
              </w:rPr>
            </w:pPr>
            <w:r w:rsidRPr="009A5BD6">
              <w:rPr>
                <w:sz w:val="24"/>
                <w:szCs w:val="24"/>
                <w:lang w:val="es-CO"/>
              </w:rPr>
              <w:t>Consolidar la estrategia de seguimiento y gestión del universo de los no activos en SGSSS.</w:t>
            </w:r>
          </w:p>
          <w:p w14:paraId="0BE3CC9F" w14:textId="77777777" w:rsidR="00E82A24" w:rsidRDefault="00E82A24" w:rsidP="00670D21">
            <w:pPr>
              <w:pStyle w:val="Prrafodelista"/>
              <w:numPr>
                <w:ilvl w:val="0"/>
                <w:numId w:val="52"/>
              </w:numPr>
              <w:ind w:left="423"/>
              <w:rPr>
                <w:sz w:val="24"/>
                <w:szCs w:val="24"/>
                <w:lang w:val="es-CO"/>
              </w:rPr>
            </w:pPr>
            <w:r w:rsidRPr="009A5BD6">
              <w:rPr>
                <w:sz w:val="24"/>
                <w:szCs w:val="24"/>
                <w:lang w:val="es-CO"/>
              </w:rPr>
              <w:t xml:space="preserve">Emitir la circular conjunta </w:t>
            </w:r>
            <w:r>
              <w:rPr>
                <w:sz w:val="24"/>
                <w:szCs w:val="24"/>
                <w:lang w:val="es-CO"/>
              </w:rPr>
              <w:t xml:space="preserve">con el </w:t>
            </w:r>
            <w:r w:rsidRPr="009A5BD6">
              <w:rPr>
                <w:sz w:val="24"/>
                <w:szCs w:val="24"/>
                <w:lang w:val="es-CO"/>
              </w:rPr>
              <w:t>Min</w:t>
            </w:r>
            <w:r>
              <w:rPr>
                <w:sz w:val="24"/>
                <w:szCs w:val="24"/>
                <w:lang w:val="es-CO"/>
              </w:rPr>
              <w:t xml:space="preserve">isterio de </w:t>
            </w:r>
            <w:r w:rsidRPr="009A5BD6">
              <w:rPr>
                <w:sz w:val="24"/>
                <w:szCs w:val="24"/>
                <w:lang w:val="es-CO"/>
              </w:rPr>
              <w:t xml:space="preserve">Salud – ARN para gestión de novedades de aseguramiento en salud. </w:t>
            </w:r>
          </w:p>
          <w:p w14:paraId="3D2DB179" w14:textId="77777777" w:rsidR="00E82A24" w:rsidRDefault="00E82A24" w:rsidP="00E82A24">
            <w:pPr>
              <w:rPr>
                <w:sz w:val="24"/>
                <w:szCs w:val="24"/>
                <w:lang w:val="es-CO"/>
              </w:rPr>
            </w:pPr>
            <w:r>
              <w:rPr>
                <w:sz w:val="24"/>
                <w:szCs w:val="24"/>
                <w:lang w:val="es-CO"/>
              </w:rPr>
              <w:t>Temas en acompañamiento integral</w:t>
            </w:r>
          </w:p>
          <w:p w14:paraId="1CFE5443" w14:textId="77777777" w:rsidR="00E82A24" w:rsidRDefault="00E82A24" w:rsidP="00E82A24">
            <w:pPr>
              <w:pStyle w:val="Prrafodelista"/>
              <w:numPr>
                <w:ilvl w:val="0"/>
                <w:numId w:val="53"/>
              </w:numPr>
              <w:rPr>
                <w:sz w:val="24"/>
                <w:szCs w:val="24"/>
                <w:lang w:val="es-CO"/>
              </w:rPr>
            </w:pPr>
            <w:r w:rsidRPr="009A5BD6">
              <w:rPr>
                <w:sz w:val="24"/>
                <w:szCs w:val="24"/>
                <w:lang w:val="es-MX"/>
              </w:rPr>
              <w:t>Generación de una estrategia para la atención de</w:t>
            </w:r>
            <w:r w:rsidRPr="009A5BD6">
              <w:rPr>
                <w:sz w:val="24"/>
                <w:szCs w:val="24"/>
                <w:lang w:val="es-CO"/>
              </w:rPr>
              <w:t xml:space="preserve"> la población que se encuentra en regiones apartadas y de difícil acceso, que combine acciones tanto virtuales como presenciales.</w:t>
            </w:r>
          </w:p>
          <w:p w14:paraId="63F357FE" w14:textId="77777777" w:rsidR="00E82A24" w:rsidRDefault="00E82A24" w:rsidP="00E82A24">
            <w:pPr>
              <w:pStyle w:val="Prrafodelista"/>
              <w:rPr>
                <w:sz w:val="24"/>
                <w:szCs w:val="24"/>
                <w:lang w:val="es-CO"/>
              </w:rPr>
            </w:pPr>
          </w:p>
          <w:p w14:paraId="2BD3BC69" w14:textId="09839A52" w:rsidR="00986AA1" w:rsidRPr="00920919" w:rsidRDefault="00E82A24" w:rsidP="00E82A24">
            <w:pPr>
              <w:jc w:val="both"/>
              <w:rPr>
                <w:color w:val="002060"/>
                <w:sz w:val="28"/>
                <w:szCs w:val="28"/>
              </w:rPr>
            </w:pPr>
            <w:r w:rsidRPr="0066516F">
              <w:rPr>
                <w:rFonts w:cstheme="minorHAnsi"/>
                <w:color w:val="000000" w:themeColor="text1"/>
                <w:sz w:val="24"/>
                <w:szCs w:val="24"/>
              </w:rPr>
              <w:t xml:space="preserve">En el marco de la implementación de las acciones del CONPES 3931, no se abordaron medidas específicas para a adoptar por la contingencia presentada como resultado de la COVID-19.  Las medidas adoptadas se trabajaron durante el año 2020 y se han ido apropiando de acuerdo con las necesidades evidenciadas. </w:t>
            </w:r>
          </w:p>
        </w:tc>
      </w:tr>
    </w:tbl>
    <w:p w14:paraId="2FA5653A" w14:textId="77777777" w:rsidR="003D7E06" w:rsidRPr="00920919" w:rsidRDefault="003D7E06" w:rsidP="005965DF">
      <w:pPr>
        <w:spacing w:after="0" w:line="240" w:lineRule="auto"/>
        <w:jc w:val="both"/>
        <w:rPr>
          <w:sz w:val="24"/>
          <w:szCs w:val="24"/>
        </w:rPr>
      </w:pPr>
    </w:p>
    <w:p w14:paraId="0230A4C5" w14:textId="4DA79964" w:rsidR="00F172EB" w:rsidRPr="00920919" w:rsidRDefault="00F172EB" w:rsidP="00631DF4">
      <w:pPr>
        <w:pStyle w:val="Prrafodelista"/>
        <w:numPr>
          <w:ilvl w:val="0"/>
          <w:numId w:val="1"/>
        </w:numPr>
        <w:spacing w:after="0" w:line="240" w:lineRule="auto"/>
        <w:rPr>
          <w:sz w:val="24"/>
          <w:szCs w:val="24"/>
        </w:rPr>
      </w:pPr>
      <w:r w:rsidRPr="00920919">
        <w:rPr>
          <w:color w:val="002060"/>
          <w:sz w:val="72"/>
          <w:szCs w:val="72"/>
        </w:rPr>
        <w:lastRenderedPageBreak/>
        <w:t>Participación Ciudadana, Control Social y Denuncia de Actos Irregulares.</w:t>
      </w:r>
    </w:p>
    <w:p w14:paraId="243BBDCC" w14:textId="31B47AC1" w:rsidR="009E05E5" w:rsidRPr="00920919" w:rsidRDefault="009E05E5" w:rsidP="00F172EB">
      <w:pPr>
        <w:spacing w:after="0" w:line="240" w:lineRule="auto"/>
        <w:rPr>
          <w:sz w:val="24"/>
          <w:szCs w:val="24"/>
        </w:rPr>
      </w:pPr>
    </w:p>
    <w:p w14:paraId="68609C6E" w14:textId="4A58322B" w:rsidR="009E05E5" w:rsidRPr="00920919" w:rsidRDefault="00F172EB" w:rsidP="00631DF4">
      <w:pPr>
        <w:pStyle w:val="Prrafodelista"/>
        <w:numPr>
          <w:ilvl w:val="0"/>
          <w:numId w:val="2"/>
        </w:numPr>
        <w:spacing w:after="0" w:line="240" w:lineRule="auto"/>
        <w:ind w:left="426"/>
        <w:rPr>
          <w:sz w:val="36"/>
          <w:szCs w:val="36"/>
        </w:rPr>
      </w:pPr>
      <w:r w:rsidRPr="00920919">
        <w:rPr>
          <w:sz w:val="36"/>
          <w:szCs w:val="36"/>
        </w:rPr>
        <w:t>Participación Ciudadana</w:t>
      </w:r>
    </w:p>
    <w:p w14:paraId="34896FC4" w14:textId="05ACA4A6" w:rsidR="003C39B2" w:rsidRPr="00920919" w:rsidRDefault="003C39B2" w:rsidP="003C39B2">
      <w:pPr>
        <w:spacing w:after="0" w:line="240" w:lineRule="auto"/>
        <w:rPr>
          <w:sz w:val="24"/>
          <w:szCs w:val="24"/>
        </w:rPr>
      </w:pPr>
    </w:p>
    <w:p w14:paraId="4B3531F8" w14:textId="1018C0D1" w:rsidR="003C39B2" w:rsidRPr="00920919" w:rsidRDefault="003C39B2" w:rsidP="003C39B2">
      <w:pPr>
        <w:spacing w:after="0" w:line="240" w:lineRule="auto"/>
        <w:jc w:val="both"/>
        <w:rPr>
          <w:sz w:val="24"/>
          <w:szCs w:val="24"/>
        </w:rPr>
      </w:pPr>
      <w:r w:rsidRPr="00920919">
        <w:rPr>
          <w:sz w:val="24"/>
          <w:szCs w:val="24"/>
        </w:rPr>
        <w:t xml:space="preserve">las entidades públicas deben diseñar, mantener y mejorar espacios que garanticen la participación ciudadana en todo el ciclo de la gestión pública: diagnóstico, formulación, implementación, evaluación y seguimiento. </w:t>
      </w:r>
    </w:p>
    <w:p w14:paraId="7CB3ED68" w14:textId="69A99370" w:rsidR="009E05E5" w:rsidRPr="00920919" w:rsidRDefault="009E05E5" w:rsidP="009E05E5">
      <w:pPr>
        <w:spacing w:after="0" w:line="240" w:lineRule="auto"/>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63"/>
        <w:gridCol w:w="6565"/>
      </w:tblGrid>
      <w:tr w:rsidR="003C39B2" w:rsidRPr="00920919" w14:paraId="5629222B" w14:textId="77777777" w:rsidTr="006E564C">
        <w:tc>
          <w:tcPr>
            <w:tcW w:w="2263" w:type="dxa"/>
            <w:shd w:val="clear" w:color="auto" w:fill="002060"/>
            <w:vAlign w:val="center"/>
          </w:tcPr>
          <w:p w14:paraId="08008E17" w14:textId="363CAE3D" w:rsidR="003C39B2" w:rsidRPr="00920919" w:rsidRDefault="003C39B2" w:rsidP="00623C90">
            <w:pPr>
              <w:jc w:val="center"/>
              <w:rPr>
                <w:sz w:val="36"/>
                <w:szCs w:val="36"/>
              </w:rPr>
            </w:pPr>
            <w:r w:rsidRPr="00920919">
              <w:rPr>
                <w:sz w:val="36"/>
                <w:szCs w:val="36"/>
              </w:rPr>
              <w:t>Acciones de Promoción a la Participación Ciudadana y el Control Social la Construcción de Paz</w:t>
            </w:r>
          </w:p>
        </w:tc>
        <w:tc>
          <w:tcPr>
            <w:tcW w:w="6565" w:type="dxa"/>
          </w:tcPr>
          <w:p w14:paraId="01ED1B91" w14:textId="77777777" w:rsidR="006E564C" w:rsidRDefault="0014088F" w:rsidP="00631DF4">
            <w:pPr>
              <w:pStyle w:val="Prrafodelista"/>
              <w:numPr>
                <w:ilvl w:val="0"/>
                <w:numId w:val="6"/>
              </w:numPr>
              <w:ind w:left="183" w:hanging="142"/>
              <w:jc w:val="both"/>
            </w:pPr>
            <w:r>
              <w:t xml:space="preserve">El plan Anticorrupción y de Atención al Ciudadano es una herramienta que tiene como objetivo fortalecer la capacidad institucional y mejorar la relación con los grupos de valor, mediante instrumentos, herramientas y capacidades. El plan </w:t>
            </w:r>
            <w:r w:rsidR="00033CA4">
              <w:t>puede ser consultado en el siguiente link</w:t>
            </w:r>
          </w:p>
          <w:p w14:paraId="248FA16C" w14:textId="00472A93" w:rsidR="006E564C" w:rsidRDefault="009D507C" w:rsidP="006E564C">
            <w:pPr>
              <w:pStyle w:val="Prrafodelista"/>
              <w:ind w:left="183"/>
              <w:jc w:val="both"/>
            </w:pPr>
            <w:hyperlink r:id="rId30" w:history="1">
              <w:r w:rsidR="00033CA4" w:rsidRPr="00E73495">
                <w:rPr>
                  <w:rStyle w:val="Hipervnculo"/>
                </w:rPr>
                <w:t>https://www.reincorporacion.gov.co/es/agencia/Paginas/anticorrupcion.aspx</w:t>
              </w:r>
            </w:hyperlink>
            <w:r w:rsidR="00033CA4">
              <w:t xml:space="preserve"> </w:t>
            </w:r>
          </w:p>
          <w:p w14:paraId="1FDF6C3C" w14:textId="77777777" w:rsidR="006E564C" w:rsidRDefault="006E564C" w:rsidP="006E564C">
            <w:pPr>
              <w:pStyle w:val="Prrafodelista"/>
              <w:ind w:left="183"/>
              <w:jc w:val="both"/>
            </w:pPr>
          </w:p>
          <w:p w14:paraId="2A0BF0FF" w14:textId="3F016C59" w:rsidR="006E564C" w:rsidRDefault="00033CA4" w:rsidP="00631DF4">
            <w:pPr>
              <w:pStyle w:val="Prrafodelista"/>
              <w:numPr>
                <w:ilvl w:val="0"/>
                <w:numId w:val="6"/>
              </w:numPr>
              <w:ind w:left="183" w:hanging="142"/>
              <w:jc w:val="both"/>
            </w:pPr>
            <w:r>
              <w:t>E</w:t>
            </w:r>
            <w:r w:rsidR="0014088F">
              <w:t>n e</w:t>
            </w:r>
            <w:r>
              <w:t>l</w:t>
            </w:r>
            <w:r w:rsidR="0014088F">
              <w:t xml:space="preserve"> marco de la audiencia pública</w:t>
            </w:r>
            <w:r w:rsidR="006E564C">
              <w:t xml:space="preserve"> de rendición de cuentas</w:t>
            </w:r>
            <w:r w:rsidR="0014088F">
              <w:t xml:space="preserve">, </w:t>
            </w:r>
            <w:r>
              <w:t>también se pueden consultar los informes en el siguiente link</w:t>
            </w:r>
            <w:r w:rsidR="006E564C">
              <w:t xml:space="preserve"> </w:t>
            </w:r>
            <w:hyperlink r:id="rId31" w:history="1">
              <w:r w:rsidRPr="00E73495">
                <w:rPr>
                  <w:rStyle w:val="Hipervnculo"/>
                </w:rPr>
                <w:t>https://www.reincorporacion.gov.co/es/agencia/Paginas/Informes-de-rendicion-de-cuentas.aspx</w:t>
              </w:r>
            </w:hyperlink>
          </w:p>
          <w:p w14:paraId="34A66F18" w14:textId="77777777" w:rsidR="006E564C" w:rsidRDefault="006E564C" w:rsidP="006E564C">
            <w:pPr>
              <w:pStyle w:val="Prrafodelista"/>
              <w:ind w:left="183"/>
              <w:jc w:val="both"/>
            </w:pPr>
          </w:p>
          <w:p w14:paraId="1AD3F05F" w14:textId="77777777" w:rsidR="006E564C" w:rsidRDefault="006E564C" w:rsidP="00631DF4">
            <w:pPr>
              <w:pStyle w:val="Prrafodelista"/>
              <w:numPr>
                <w:ilvl w:val="0"/>
                <w:numId w:val="6"/>
              </w:numPr>
              <w:ind w:left="183" w:hanging="142"/>
              <w:jc w:val="both"/>
            </w:pPr>
            <w:r>
              <w:t xml:space="preserve">Los informes de rendición de cuentas paz, se pueden consultar en el siguiente link </w:t>
            </w:r>
          </w:p>
          <w:p w14:paraId="47B6C021" w14:textId="1810092C" w:rsidR="006E564C" w:rsidRDefault="009D507C" w:rsidP="006E564C">
            <w:pPr>
              <w:pStyle w:val="Prrafodelista"/>
              <w:ind w:left="183"/>
              <w:jc w:val="both"/>
            </w:pPr>
            <w:hyperlink r:id="rId32" w:history="1">
              <w:r w:rsidR="006E564C" w:rsidRPr="00E73495">
                <w:rPr>
                  <w:rStyle w:val="Hipervnculo"/>
                </w:rPr>
                <w:t>https://www.reincorporacion.gov.co/es/agencia/Paginas/Informes_rendicion_cuentas_PAZ.aspx</w:t>
              </w:r>
            </w:hyperlink>
            <w:r w:rsidR="006E564C">
              <w:t xml:space="preserve"> </w:t>
            </w:r>
          </w:p>
          <w:p w14:paraId="2729214F" w14:textId="77777777" w:rsidR="006E564C" w:rsidRDefault="006E564C" w:rsidP="006E564C">
            <w:pPr>
              <w:pStyle w:val="Prrafodelista"/>
            </w:pPr>
          </w:p>
          <w:p w14:paraId="34CBDD9C" w14:textId="77777777" w:rsidR="006E564C" w:rsidRDefault="006E564C" w:rsidP="00631DF4">
            <w:pPr>
              <w:pStyle w:val="Prrafodelista"/>
              <w:numPr>
                <w:ilvl w:val="0"/>
                <w:numId w:val="6"/>
              </w:numPr>
              <w:ind w:left="183" w:hanging="142"/>
              <w:jc w:val="both"/>
            </w:pPr>
            <w:r>
              <w:t xml:space="preserve">Los informes de gestión de la entidad, se pueden consultar en el siguiente link </w:t>
            </w:r>
          </w:p>
          <w:p w14:paraId="4885F587" w14:textId="4036F3C6" w:rsidR="006E564C" w:rsidRPr="00920919" w:rsidRDefault="009D507C" w:rsidP="006E564C">
            <w:pPr>
              <w:pStyle w:val="Prrafodelista"/>
              <w:ind w:left="183"/>
              <w:jc w:val="both"/>
              <w:rPr>
                <w:sz w:val="36"/>
                <w:szCs w:val="36"/>
              </w:rPr>
            </w:pPr>
            <w:hyperlink r:id="rId33" w:history="1">
              <w:r w:rsidR="006E564C" w:rsidRPr="006E564C">
                <w:rPr>
                  <w:rStyle w:val="Hipervnculo"/>
                </w:rPr>
                <w:t>https://www.reincorporacion.gov.co/es/agencia/Paginas/Informes-de-gestion.aspx</w:t>
              </w:r>
            </w:hyperlink>
          </w:p>
        </w:tc>
      </w:tr>
    </w:tbl>
    <w:p w14:paraId="4E7985DE" w14:textId="27117363" w:rsidR="00ED5251" w:rsidRPr="00920919" w:rsidRDefault="00ED5251" w:rsidP="009E05E5">
      <w:pPr>
        <w:spacing w:after="0" w:line="240" w:lineRule="auto"/>
        <w:rPr>
          <w:sz w:val="24"/>
          <w:szCs w:val="24"/>
        </w:rPr>
      </w:pPr>
    </w:p>
    <w:p w14:paraId="02716A9C" w14:textId="53C542FD" w:rsidR="003C39B2" w:rsidRPr="00920919" w:rsidRDefault="00ED5251" w:rsidP="00631DF4">
      <w:pPr>
        <w:pStyle w:val="Prrafodelista"/>
        <w:numPr>
          <w:ilvl w:val="0"/>
          <w:numId w:val="2"/>
        </w:numPr>
        <w:spacing w:after="0" w:line="240" w:lineRule="auto"/>
        <w:rPr>
          <w:sz w:val="36"/>
          <w:szCs w:val="36"/>
        </w:rPr>
      </w:pPr>
      <w:r w:rsidRPr="00920919">
        <w:rPr>
          <w:sz w:val="36"/>
          <w:szCs w:val="36"/>
        </w:rPr>
        <w:t>Control Social</w:t>
      </w:r>
    </w:p>
    <w:p w14:paraId="108D894C" w14:textId="77777777" w:rsidR="003C39B2" w:rsidRPr="00920919" w:rsidRDefault="003C39B2" w:rsidP="009E05E5">
      <w:pPr>
        <w:spacing w:after="0" w:line="240" w:lineRule="auto"/>
        <w:rPr>
          <w:sz w:val="24"/>
          <w:szCs w:val="24"/>
        </w:rPr>
      </w:pPr>
    </w:p>
    <w:p w14:paraId="1E08DDF4" w14:textId="5D5E10B6" w:rsidR="009E05E5" w:rsidRPr="00920919" w:rsidRDefault="009E05E5" w:rsidP="009E05E5">
      <w:pPr>
        <w:spacing w:after="0" w:line="240" w:lineRule="auto"/>
        <w:jc w:val="both"/>
        <w:rPr>
          <w:sz w:val="24"/>
          <w:szCs w:val="24"/>
        </w:rPr>
      </w:pPr>
      <w:r w:rsidRPr="00920919">
        <w:rPr>
          <w:sz w:val="24"/>
          <w:szCs w:val="24"/>
        </w:rPr>
        <w:t xml:space="preserve">El control social es un derecho y un deber de la ciudadanía para ejercer seguimiento y vigilancia sobre la gestión de las entidades públicas. Consiste en hacer seguimiento la planeación y ejecución de proyectos y recursos, para así contribuir al cumplimiento del </w:t>
      </w:r>
      <w:r w:rsidRPr="00920919">
        <w:rPr>
          <w:sz w:val="24"/>
          <w:szCs w:val="24"/>
        </w:rPr>
        <w:lastRenderedPageBreak/>
        <w:t xml:space="preserve">Acuerdo de Paz y la garantía de derechos. Invitamos a la comunidad a hacer seguimiento, veeduría o control social a las actuaciones de las entidades y la de los servidores públicos. </w:t>
      </w:r>
    </w:p>
    <w:p w14:paraId="0FA3243E" w14:textId="2F44837C" w:rsidR="009E05E5" w:rsidRPr="00920919" w:rsidRDefault="009E05E5" w:rsidP="009E05E5">
      <w:pPr>
        <w:spacing w:after="0" w:line="240" w:lineRule="auto"/>
        <w:jc w:val="both"/>
        <w:rPr>
          <w:sz w:val="24"/>
          <w:szCs w:val="24"/>
        </w:rPr>
      </w:pPr>
    </w:p>
    <w:p w14:paraId="3FAF81F0" w14:textId="2381A085" w:rsidR="00ED5251" w:rsidRPr="00920919" w:rsidRDefault="00ED5251" w:rsidP="00ED5251">
      <w:pPr>
        <w:spacing w:after="0" w:line="240" w:lineRule="auto"/>
        <w:rPr>
          <w:sz w:val="24"/>
          <w:szCs w:val="24"/>
        </w:rPr>
      </w:pPr>
      <w:r w:rsidRPr="00920919">
        <w:rPr>
          <w:sz w:val="24"/>
          <w:szCs w:val="24"/>
        </w:rPr>
        <w:t xml:space="preserve">invitamos a ejercer el derecho a control social a los contratos que se celebran por parte de las entidades públicas en el portal de Colombia Compra Eficiente </w:t>
      </w:r>
      <w:hyperlink r:id="rId34" w:history="1">
        <w:r w:rsidRPr="00920919">
          <w:rPr>
            <w:rStyle w:val="Hipervnculo"/>
            <w:sz w:val="24"/>
            <w:szCs w:val="24"/>
          </w:rPr>
          <w:t>www.colombiacompra.gov.co</w:t>
        </w:r>
      </w:hyperlink>
      <w:r w:rsidRPr="00920919">
        <w:rPr>
          <w:sz w:val="24"/>
          <w:szCs w:val="24"/>
        </w:rPr>
        <w:t xml:space="preserve">  </w:t>
      </w:r>
    </w:p>
    <w:p w14:paraId="4B18BA17" w14:textId="77777777" w:rsidR="00ED5251" w:rsidRPr="00920919" w:rsidRDefault="00ED5251" w:rsidP="00ED5251">
      <w:pPr>
        <w:spacing w:after="0" w:line="240" w:lineRule="auto"/>
        <w:rPr>
          <w:sz w:val="24"/>
          <w:szCs w:val="24"/>
        </w:rPr>
      </w:pPr>
    </w:p>
    <w:p w14:paraId="0EA7DF66" w14:textId="030B7919" w:rsidR="00ED5251" w:rsidRPr="00920919" w:rsidRDefault="00ED5251" w:rsidP="00ED5251">
      <w:pPr>
        <w:spacing w:after="0" w:line="240" w:lineRule="auto"/>
        <w:rPr>
          <w:sz w:val="24"/>
          <w:szCs w:val="24"/>
        </w:rPr>
      </w:pPr>
      <w:r w:rsidRPr="00920919">
        <w:rPr>
          <w:sz w:val="24"/>
          <w:szCs w:val="24"/>
        </w:rPr>
        <w:t>Para efectos de consulta de los contratos celebrados con vigencia 202</w:t>
      </w:r>
      <w:r w:rsidR="0014252F">
        <w:rPr>
          <w:sz w:val="24"/>
          <w:szCs w:val="24"/>
        </w:rPr>
        <w:t>1</w:t>
      </w:r>
      <w:r w:rsidRPr="00920919">
        <w:rPr>
          <w:sz w:val="24"/>
          <w:szCs w:val="24"/>
        </w:rPr>
        <w:t>, lo invitamos a visitarlos siguientes enlaces. Allí indique el nombre de la Entidad y el número de contrato en el espacio señalado “Buscar Proceso de Contratación” y luego seleccione “Buscar”.</w:t>
      </w:r>
    </w:p>
    <w:p w14:paraId="5931F3C4" w14:textId="77777777" w:rsidR="00ED5251" w:rsidRPr="00920919" w:rsidRDefault="00ED5251" w:rsidP="00ED5251">
      <w:pPr>
        <w:spacing w:after="0" w:line="240" w:lineRule="auto"/>
        <w:rPr>
          <w:sz w:val="24"/>
          <w:szCs w:val="24"/>
        </w:rPr>
      </w:pPr>
    </w:p>
    <w:p w14:paraId="6C618A61" w14:textId="77777777" w:rsidR="00ED5251" w:rsidRPr="00920919" w:rsidRDefault="00ED5251" w:rsidP="00ED5251">
      <w:pPr>
        <w:spacing w:after="0" w:line="240" w:lineRule="auto"/>
        <w:rPr>
          <w:sz w:val="24"/>
          <w:szCs w:val="24"/>
        </w:rPr>
      </w:pPr>
      <w:r w:rsidRPr="00920919">
        <w:rPr>
          <w:sz w:val="24"/>
          <w:szCs w:val="24"/>
        </w:rPr>
        <w:t xml:space="preserve">https://www.colombiacompra.gov.co/secop/busqueda-de-procesos-de-contratacion </w:t>
      </w:r>
    </w:p>
    <w:p w14:paraId="7506A5D1" w14:textId="0D436C95" w:rsidR="00ED5251" w:rsidRPr="00920919" w:rsidRDefault="009D507C" w:rsidP="00ED5251">
      <w:pPr>
        <w:spacing w:after="0" w:line="240" w:lineRule="auto"/>
        <w:rPr>
          <w:sz w:val="24"/>
          <w:szCs w:val="24"/>
        </w:rPr>
      </w:pPr>
      <w:hyperlink r:id="rId35" w:history="1">
        <w:r w:rsidR="00ED5251" w:rsidRPr="00920919">
          <w:rPr>
            <w:rStyle w:val="Hipervnculo"/>
            <w:sz w:val="24"/>
            <w:szCs w:val="24"/>
          </w:rPr>
          <w:t>https://www.contratos.gov.co/consultas/inicioConsulta.do</w:t>
        </w:r>
      </w:hyperlink>
      <w:r w:rsidR="00ED5251" w:rsidRPr="00920919">
        <w:rPr>
          <w:sz w:val="24"/>
          <w:szCs w:val="24"/>
        </w:rPr>
        <w:t xml:space="preserve">   </w:t>
      </w:r>
    </w:p>
    <w:p w14:paraId="1B14496D" w14:textId="77777777" w:rsidR="00ED5251" w:rsidRPr="00920919" w:rsidRDefault="00ED5251" w:rsidP="00ED5251">
      <w:pPr>
        <w:spacing w:after="0" w:line="240" w:lineRule="auto"/>
        <w:rPr>
          <w:sz w:val="24"/>
          <w:szCs w:val="24"/>
        </w:rPr>
      </w:pPr>
    </w:p>
    <w:p w14:paraId="300674E0" w14:textId="77777777" w:rsidR="00ED5251" w:rsidRPr="00920919" w:rsidRDefault="00ED5251" w:rsidP="00ED5251">
      <w:pPr>
        <w:spacing w:after="0" w:line="240" w:lineRule="auto"/>
        <w:jc w:val="both"/>
        <w:rPr>
          <w:sz w:val="24"/>
          <w:szCs w:val="24"/>
        </w:rPr>
      </w:pPr>
      <w:r w:rsidRPr="00920919">
        <w:rPr>
          <w:sz w:val="24"/>
          <w:szCs w:val="24"/>
        </w:rPr>
        <w:t>No obstante, y de manera indicativa, relacionamos contratos que hemos celebrado para el cumplimiento de los compromisos para la implementación del Acuerdo de Paz:</w:t>
      </w:r>
    </w:p>
    <w:p w14:paraId="5EC9195B" w14:textId="77777777" w:rsidR="00ED5251" w:rsidRPr="00920919" w:rsidRDefault="00ED5251" w:rsidP="00ED5251">
      <w:pPr>
        <w:spacing w:after="0" w:line="240" w:lineRule="auto"/>
        <w:jc w:val="both"/>
        <w:rPr>
          <w:sz w:val="24"/>
          <w:szCs w:val="24"/>
        </w:rPr>
      </w:pPr>
    </w:p>
    <w:tbl>
      <w:tblPr>
        <w:tblStyle w:val="Tablaconcuadrcula"/>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424"/>
        <w:gridCol w:w="6927"/>
      </w:tblGrid>
      <w:tr w:rsidR="00ED5251" w:rsidRPr="00920919" w14:paraId="64F5C271" w14:textId="77777777" w:rsidTr="00B85A92">
        <w:trPr>
          <w:tblHeader/>
        </w:trPr>
        <w:tc>
          <w:tcPr>
            <w:tcW w:w="2424" w:type="dxa"/>
            <w:shd w:val="clear" w:color="auto" w:fill="002060"/>
            <w:vAlign w:val="center"/>
          </w:tcPr>
          <w:p w14:paraId="1F1428F2" w14:textId="255572F0" w:rsidR="00ED5251" w:rsidRPr="00920919" w:rsidRDefault="00ED5251" w:rsidP="00ED5251">
            <w:pPr>
              <w:jc w:val="center"/>
              <w:rPr>
                <w:sz w:val="24"/>
                <w:szCs w:val="24"/>
              </w:rPr>
            </w:pPr>
            <w:r w:rsidRPr="00920919">
              <w:rPr>
                <w:sz w:val="24"/>
                <w:szCs w:val="24"/>
              </w:rPr>
              <w:t>Número de Contrato/Año</w:t>
            </w:r>
          </w:p>
        </w:tc>
        <w:tc>
          <w:tcPr>
            <w:tcW w:w="6927" w:type="dxa"/>
            <w:shd w:val="clear" w:color="auto" w:fill="002060"/>
            <w:vAlign w:val="center"/>
          </w:tcPr>
          <w:p w14:paraId="63739A5D" w14:textId="30B3859C" w:rsidR="00ED5251" w:rsidRPr="00920919" w:rsidRDefault="00ED5251" w:rsidP="00ED5251">
            <w:pPr>
              <w:jc w:val="center"/>
              <w:rPr>
                <w:sz w:val="24"/>
                <w:szCs w:val="24"/>
              </w:rPr>
            </w:pPr>
            <w:r w:rsidRPr="00920919">
              <w:rPr>
                <w:sz w:val="24"/>
                <w:szCs w:val="24"/>
              </w:rPr>
              <w:t>Enlace de Consulta</w:t>
            </w:r>
          </w:p>
        </w:tc>
      </w:tr>
      <w:tr w:rsidR="00ED5251" w:rsidRPr="00920919" w14:paraId="1A8F682E" w14:textId="77777777" w:rsidTr="007C0B43">
        <w:tc>
          <w:tcPr>
            <w:tcW w:w="2424" w:type="dxa"/>
          </w:tcPr>
          <w:p w14:paraId="43314F07" w14:textId="04FB923C" w:rsidR="00ED5251" w:rsidRPr="00920919" w:rsidRDefault="0014252F" w:rsidP="00ED5251">
            <w:pPr>
              <w:jc w:val="both"/>
              <w:rPr>
                <w:sz w:val="24"/>
                <w:szCs w:val="24"/>
              </w:rPr>
            </w:pPr>
            <w:r w:rsidRPr="00C635C1">
              <w:rPr>
                <w:i/>
              </w:rPr>
              <w:t xml:space="preserve">Convenio ARN - PNUD - </w:t>
            </w:r>
            <w:hyperlink r:id="rId36" w:history="1">
              <w:r w:rsidRPr="00C635C1">
                <w:rPr>
                  <w:i/>
                </w:rPr>
                <w:t>CD-ARN-1067-2018</w:t>
              </w:r>
            </w:hyperlink>
            <w:r w:rsidR="007C0B43">
              <w:rPr>
                <w:rStyle w:val="Refdenotaalpie"/>
                <w:sz w:val="24"/>
                <w:szCs w:val="24"/>
              </w:rPr>
              <w:footnoteReference w:id="8"/>
            </w:r>
          </w:p>
        </w:tc>
        <w:tc>
          <w:tcPr>
            <w:tcW w:w="6927" w:type="dxa"/>
          </w:tcPr>
          <w:p w14:paraId="0891EAE3" w14:textId="77777777" w:rsidR="0014252F" w:rsidRPr="00C635C1" w:rsidRDefault="009D507C" w:rsidP="0014252F">
            <w:pPr>
              <w:rPr>
                <w:rStyle w:val="Hipervnculo"/>
                <w:i/>
              </w:rPr>
            </w:pPr>
            <w:hyperlink r:id="rId37" w:history="1">
              <w:r w:rsidR="0014252F" w:rsidRPr="00C635C1">
                <w:rPr>
                  <w:rStyle w:val="Hipervnculo"/>
                  <w:i/>
                </w:rPr>
                <w:t>https://www.contratos.gov.co/consultas/detalleProceso.do?numConstancia=18-4-7733643</w:t>
              </w:r>
            </w:hyperlink>
          </w:p>
          <w:p w14:paraId="55B1A18C" w14:textId="77777777" w:rsidR="00ED5251" w:rsidRPr="00920919" w:rsidRDefault="00ED5251" w:rsidP="00ED5251">
            <w:pPr>
              <w:jc w:val="both"/>
              <w:rPr>
                <w:sz w:val="24"/>
                <w:szCs w:val="24"/>
              </w:rPr>
            </w:pPr>
          </w:p>
        </w:tc>
      </w:tr>
      <w:tr w:rsidR="00ED5251" w:rsidRPr="00920919" w14:paraId="6F7CFEBF" w14:textId="77777777" w:rsidTr="007C0B43">
        <w:tc>
          <w:tcPr>
            <w:tcW w:w="2424" w:type="dxa"/>
          </w:tcPr>
          <w:p w14:paraId="53B316E4" w14:textId="41E29751" w:rsidR="007C0B43" w:rsidRPr="00C635C1" w:rsidRDefault="007C0B43" w:rsidP="007C0B43">
            <w:pPr>
              <w:jc w:val="both"/>
              <w:rPr>
                <w:i/>
              </w:rPr>
            </w:pPr>
            <w:r w:rsidRPr="00C635C1">
              <w:rPr>
                <w:i/>
              </w:rPr>
              <w:t>Contrato de suministro de víveres FCP 125-2020</w:t>
            </w:r>
            <w:r>
              <w:rPr>
                <w:rStyle w:val="Refdenotaalpie"/>
                <w:i/>
              </w:rPr>
              <w:footnoteReference w:id="9"/>
            </w:r>
          </w:p>
          <w:p w14:paraId="6BBC535A" w14:textId="77777777" w:rsidR="00ED5251" w:rsidRPr="00920919" w:rsidRDefault="00ED5251" w:rsidP="00ED5251">
            <w:pPr>
              <w:jc w:val="both"/>
              <w:rPr>
                <w:sz w:val="24"/>
                <w:szCs w:val="24"/>
              </w:rPr>
            </w:pPr>
          </w:p>
        </w:tc>
        <w:tc>
          <w:tcPr>
            <w:tcW w:w="6927" w:type="dxa"/>
          </w:tcPr>
          <w:p w14:paraId="7E8FEEBE" w14:textId="77777777" w:rsidR="007C0B43" w:rsidRPr="00C635C1" w:rsidRDefault="009D507C" w:rsidP="007C0B43">
            <w:pPr>
              <w:rPr>
                <w:rStyle w:val="Hipervnculo"/>
                <w:i/>
              </w:rPr>
            </w:pPr>
            <w:hyperlink r:id="rId38" w:history="1">
              <w:r w:rsidR="007C0B43" w:rsidRPr="00C635C1">
                <w:rPr>
                  <w:rStyle w:val="Hipervnculo"/>
                  <w:i/>
                </w:rPr>
                <w:t>https://www.fiduprevisora.com.co/convocatoria-abierta-no-002-de-2020-fcp/</w:t>
              </w:r>
            </w:hyperlink>
          </w:p>
          <w:p w14:paraId="32D6A4CC" w14:textId="77777777" w:rsidR="00ED5251" w:rsidRPr="00920919" w:rsidRDefault="00ED5251" w:rsidP="00ED5251">
            <w:pPr>
              <w:jc w:val="both"/>
              <w:rPr>
                <w:sz w:val="24"/>
                <w:szCs w:val="24"/>
              </w:rPr>
            </w:pPr>
          </w:p>
        </w:tc>
      </w:tr>
      <w:tr w:rsidR="005409D3" w:rsidRPr="00920919" w14:paraId="240F31E4" w14:textId="77777777" w:rsidTr="007C0B43">
        <w:tc>
          <w:tcPr>
            <w:tcW w:w="2424" w:type="dxa"/>
          </w:tcPr>
          <w:p w14:paraId="5053B8C8" w14:textId="6E69837F" w:rsidR="007C0B43" w:rsidRPr="00C635C1" w:rsidRDefault="007C0B43" w:rsidP="007C0B43">
            <w:pPr>
              <w:jc w:val="both"/>
              <w:rPr>
                <w:i/>
              </w:rPr>
            </w:pPr>
            <w:r w:rsidRPr="00C635C1">
              <w:rPr>
                <w:i/>
              </w:rPr>
              <w:t>Contrato de suministro de víveres FCP 217-2021</w:t>
            </w:r>
            <w:r>
              <w:rPr>
                <w:rStyle w:val="Refdenotaalpie"/>
                <w:i/>
              </w:rPr>
              <w:footnoteReference w:id="10"/>
            </w:r>
          </w:p>
          <w:p w14:paraId="0631A8F3" w14:textId="77777777" w:rsidR="005409D3" w:rsidRPr="00920919" w:rsidRDefault="005409D3" w:rsidP="00ED5251">
            <w:pPr>
              <w:jc w:val="both"/>
              <w:rPr>
                <w:sz w:val="24"/>
                <w:szCs w:val="24"/>
              </w:rPr>
            </w:pPr>
          </w:p>
        </w:tc>
        <w:tc>
          <w:tcPr>
            <w:tcW w:w="6927" w:type="dxa"/>
          </w:tcPr>
          <w:p w14:paraId="55A06CB5" w14:textId="77777777" w:rsidR="007C0B43" w:rsidRPr="00C635C1" w:rsidRDefault="007C0B43" w:rsidP="007C0B43">
            <w:pPr>
              <w:rPr>
                <w:rStyle w:val="Hipervnculo"/>
                <w:i/>
              </w:rPr>
            </w:pPr>
            <w:r w:rsidRPr="00C635C1">
              <w:rPr>
                <w:rStyle w:val="Hipervnculo"/>
                <w:i/>
              </w:rPr>
              <w:t>https://www.fiduprevisora.com.co/convocatoria-publica-no-006-de-2021-fcp/</w:t>
            </w:r>
          </w:p>
          <w:p w14:paraId="3A2B23F5" w14:textId="77777777" w:rsidR="005409D3" w:rsidRPr="00920919" w:rsidRDefault="005409D3" w:rsidP="00ED5251">
            <w:pPr>
              <w:jc w:val="both"/>
              <w:rPr>
                <w:sz w:val="24"/>
                <w:szCs w:val="24"/>
              </w:rPr>
            </w:pPr>
          </w:p>
        </w:tc>
      </w:tr>
      <w:tr w:rsidR="00B52D35" w:rsidRPr="00920919" w14:paraId="2AA156AE" w14:textId="77777777" w:rsidTr="007C0B43">
        <w:tc>
          <w:tcPr>
            <w:tcW w:w="2424" w:type="dxa"/>
          </w:tcPr>
          <w:p w14:paraId="0A872343" w14:textId="77777777" w:rsidR="00B52D35" w:rsidRPr="00356212" w:rsidRDefault="00B52D35" w:rsidP="00B52D35">
            <w:pPr>
              <w:jc w:val="both"/>
            </w:pPr>
            <w:r w:rsidRPr="00356212">
              <w:t>1186/ 2021</w:t>
            </w:r>
          </w:p>
          <w:p w14:paraId="5B9678EB" w14:textId="7D6070D7" w:rsidR="00B52D35" w:rsidRPr="00C635C1" w:rsidRDefault="00B52D35" w:rsidP="00B52D35">
            <w:pPr>
              <w:jc w:val="both"/>
              <w:rPr>
                <w:i/>
              </w:rPr>
            </w:pPr>
            <w:r w:rsidRPr="00356212">
              <w:t>Convenio de Cooperación entre la Organización Internacional para las Migraciones- OIM</w:t>
            </w:r>
          </w:p>
        </w:tc>
        <w:tc>
          <w:tcPr>
            <w:tcW w:w="6927" w:type="dxa"/>
          </w:tcPr>
          <w:p w14:paraId="09CC10E3" w14:textId="77777777" w:rsidR="00B52D35" w:rsidRPr="00356212" w:rsidRDefault="009D507C" w:rsidP="00B52D35">
            <w:pPr>
              <w:jc w:val="both"/>
            </w:pPr>
            <w:hyperlink r:id="rId39" w:anchor="ProcedureReceipts" w:history="1">
              <w:r w:rsidR="00B52D35" w:rsidRPr="00356212">
                <w:rPr>
                  <w:rStyle w:val="Hipervnculo"/>
                </w:rPr>
                <w:t>https://www.secop.gov.co/CO1BusinessLine/Tendering/ContractNoticeView/Index?notice=CO1.NTC.1960501#ProcedureReceipts</w:t>
              </w:r>
            </w:hyperlink>
          </w:p>
          <w:p w14:paraId="36A9C96E" w14:textId="77777777" w:rsidR="00B52D35" w:rsidRPr="00C635C1" w:rsidRDefault="00B52D35" w:rsidP="007C0B43">
            <w:pPr>
              <w:rPr>
                <w:rStyle w:val="Hipervnculo"/>
                <w:i/>
              </w:rPr>
            </w:pPr>
          </w:p>
        </w:tc>
      </w:tr>
      <w:tr w:rsidR="00B52D35" w:rsidRPr="00920919" w14:paraId="69306C4B" w14:textId="77777777" w:rsidTr="007C0B43">
        <w:tc>
          <w:tcPr>
            <w:tcW w:w="2424" w:type="dxa"/>
          </w:tcPr>
          <w:p w14:paraId="15BEB81A" w14:textId="77777777" w:rsidR="00B52D35" w:rsidRPr="00356212" w:rsidRDefault="00B52D35" w:rsidP="00B52D35">
            <w:pPr>
              <w:jc w:val="both"/>
            </w:pPr>
            <w:r w:rsidRPr="00356212">
              <w:t xml:space="preserve">Convenio 1193 de 2021 </w:t>
            </w:r>
          </w:p>
          <w:p w14:paraId="19F110C0" w14:textId="50A9806E" w:rsidR="00B52D35" w:rsidRPr="00C635C1" w:rsidRDefault="00B52D35" w:rsidP="00B52D35">
            <w:pPr>
              <w:jc w:val="both"/>
              <w:rPr>
                <w:i/>
              </w:rPr>
            </w:pPr>
            <w:r w:rsidRPr="00356212">
              <w:t xml:space="preserve">Convenio de Cooperación </w:t>
            </w:r>
            <w:r w:rsidRPr="00356212">
              <w:lastRenderedPageBreak/>
              <w:t>Internacional ARN-UNFPA</w:t>
            </w:r>
          </w:p>
        </w:tc>
        <w:tc>
          <w:tcPr>
            <w:tcW w:w="6927" w:type="dxa"/>
          </w:tcPr>
          <w:p w14:paraId="36A698C1" w14:textId="77777777" w:rsidR="00B52D35" w:rsidRPr="00356212" w:rsidRDefault="00B52D35" w:rsidP="00B52D35">
            <w:pPr>
              <w:jc w:val="both"/>
            </w:pPr>
            <w:r w:rsidRPr="00356212">
              <w:lastRenderedPageBreak/>
              <w:t>CD-ARN-652-2021</w:t>
            </w:r>
          </w:p>
          <w:p w14:paraId="303EE920" w14:textId="77777777" w:rsidR="00B52D35" w:rsidRPr="00356212" w:rsidRDefault="009D507C" w:rsidP="00B52D35">
            <w:pPr>
              <w:jc w:val="both"/>
            </w:pPr>
            <w:hyperlink r:id="rId40" w:history="1">
              <w:r w:rsidR="00B52D35" w:rsidRPr="00356212">
                <w:rPr>
                  <w:rStyle w:val="Hipervnculo"/>
                </w:rPr>
                <w:t>https://community.secop.gov.co/Public/Tendering/ContractNoticeManagement/Index?currentLanguage=es-CO&amp;Page=login&amp;Country=CO&amp;SkinName=CCE</w:t>
              </w:r>
            </w:hyperlink>
          </w:p>
          <w:p w14:paraId="501C4FDB" w14:textId="77777777" w:rsidR="00B52D35" w:rsidRPr="00C635C1" w:rsidRDefault="00B52D35" w:rsidP="007C0B43">
            <w:pPr>
              <w:rPr>
                <w:rStyle w:val="Hipervnculo"/>
                <w:i/>
              </w:rPr>
            </w:pPr>
          </w:p>
        </w:tc>
      </w:tr>
      <w:tr w:rsidR="00B52D35" w:rsidRPr="00920919" w14:paraId="293E01CC" w14:textId="77777777" w:rsidTr="007C0B43">
        <w:tc>
          <w:tcPr>
            <w:tcW w:w="2424" w:type="dxa"/>
          </w:tcPr>
          <w:p w14:paraId="154711FE" w14:textId="77777777" w:rsidR="00B52D35" w:rsidRPr="00356212" w:rsidRDefault="00B52D35" w:rsidP="00B52D35">
            <w:pPr>
              <w:jc w:val="both"/>
            </w:pPr>
            <w:r w:rsidRPr="00356212">
              <w:lastRenderedPageBreak/>
              <w:t>Contrato interadministrativo 1214 de 2021</w:t>
            </w:r>
          </w:p>
          <w:p w14:paraId="290BB913" w14:textId="5FB51521" w:rsidR="00B52D35" w:rsidRPr="00356212" w:rsidRDefault="00B52D35" w:rsidP="00B52D35">
            <w:pPr>
              <w:jc w:val="both"/>
            </w:pPr>
            <w:r w:rsidRPr="00356212">
              <w:t>Contrato interadministrativo ARN-ESAP.</w:t>
            </w:r>
          </w:p>
        </w:tc>
        <w:tc>
          <w:tcPr>
            <w:tcW w:w="6927" w:type="dxa"/>
          </w:tcPr>
          <w:p w14:paraId="4C35EE55" w14:textId="77777777" w:rsidR="00B52D35" w:rsidRPr="00356212" w:rsidRDefault="00B52D35" w:rsidP="00B52D35">
            <w:pPr>
              <w:jc w:val="both"/>
            </w:pPr>
            <w:r w:rsidRPr="00356212">
              <w:t>CD-ARN-673-2021</w:t>
            </w:r>
          </w:p>
          <w:p w14:paraId="41C7CE31" w14:textId="4C0522AC" w:rsidR="00B52D35" w:rsidRPr="00356212" w:rsidRDefault="009D507C" w:rsidP="00B52D35">
            <w:pPr>
              <w:jc w:val="both"/>
            </w:pPr>
            <w:hyperlink r:id="rId41" w:history="1">
              <w:r w:rsidR="00B52D35" w:rsidRPr="00356212">
                <w:rPr>
                  <w:rStyle w:val="Hipervnculo"/>
                </w:rPr>
                <w:t>https://community.secop.gov.co/Public/Tendering/ContractNoticeManagement/Index?currentLanguage=es-CO&amp;Page=login&amp;Country=CO&amp;SkinName=CCE</w:t>
              </w:r>
            </w:hyperlink>
          </w:p>
        </w:tc>
      </w:tr>
      <w:tr w:rsidR="00B52D35" w:rsidRPr="00920919" w14:paraId="54A239B8" w14:textId="77777777" w:rsidTr="007C0B43">
        <w:tc>
          <w:tcPr>
            <w:tcW w:w="2424" w:type="dxa"/>
          </w:tcPr>
          <w:p w14:paraId="50AAE476" w14:textId="77777777" w:rsidR="00B52D35" w:rsidRPr="00356212" w:rsidRDefault="00B52D35" w:rsidP="00B52D35">
            <w:pPr>
              <w:jc w:val="both"/>
            </w:pPr>
            <w:r w:rsidRPr="00356212">
              <w:t xml:space="preserve">Convenio 1217 de 2021 </w:t>
            </w:r>
          </w:p>
          <w:p w14:paraId="5943A48A" w14:textId="470B5969" w:rsidR="00B52D35" w:rsidRPr="00C635C1" w:rsidRDefault="00B52D35" w:rsidP="00B52D35">
            <w:pPr>
              <w:jc w:val="both"/>
              <w:rPr>
                <w:i/>
              </w:rPr>
            </w:pPr>
            <w:r w:rsidRPr="00356212">
              <w:t>Convenio de Cooperación Internacional ARN-OIM</w:t>
            </w:r>
          </w:p>
        </w:tc>
        <w:tc>
          <w:tcPr>
            <w:tcW w:w="6927" w:type="dxa"/>
          </w:tcPr>
          <w:p w14:paraId="7862CD3A" w14:textId="77777777" w:rsidR="00B52D35" w:rsidRPr="00356212" w:rsidRDefault="00B52D35" w:rsidP="00B52D35">
            <w:pPr>
              <w:jc w:val="both"/>
            </w:pPr>
            <w:r w:rsidRPr="00356212">
              <w:t>CD-ARN-676-2021</w:t>
            </w:r>
          </w:p>
          <w:p w14:paraId="130C2989" w14:textId="016834C4" w:rsidR="00B52D35" w:rsidRPr="00C635C1" w:rsidRDefault="009D507C" w:rsidP="00B52D35">
            <w:pPr>
              <w:rPr>
                <w:rStyle w:val="Hipervnculo"/>
                <w:i/>
              </w:rPr>
            </w:pPr>
            <w:hyperlink r:id="rId42" w:history="1">
              <w:r w:rsidR="00B52D35" w:rsidRPr="00356212">
                <w:rPr>
                  <w:rStyle w:val="Hipervnculo"/>
                </w:rPr>
                <w:t>https://community.secop.gov.co/Public/Tendering/ContractNoticeManagement/Index?currentLanguage=es-CO&amp;Page=login&amp;Country=CO&amp;SkinName=CCE</w:t>
              </w:r>
            </w:hyperlink>
          </w:p>
        </w:tc>
      </w:tr>
      <w:tr w:rsidR="00B52D35" w:rsidRPr="00920919" w14:paraId="1FC092F6" w14:textId="77777777" w:rsidTr="007C0B43">
        <w:tc>
          <w:tcPr>
            <w:tcW w:w="2424" w:type="dxa"/>
          </w:tcPr>
          <w:p w14:paraId="50C892D5" w14:textId="77777777" w:rsidR="00B52D35" w:rsidRPr="00356212" w:rsidRDefault="00B52D35" w:rsidP="00B52D35">
            <w:pPr>
              <w:jc w:val="both"/>
            </w:pPr>
            <w:r w:rsidRPr="00356212">
              <w:t xml:space="preserve">Convenio No. 1518 de 2021 </w:t>
            </w:r>
          </w:p>
          <w:p w14:paraId="3584A5D3" w14:textId="39B5D5E3" w:rsidR="00B52D35" w:rsidRPr="00C635C1" w:rsidRDefault="00B52D35" w:rsidP="00B52D35">
            <w:pPr>
              <w:jc w:val="both"/>
              <w:rPr>
                <w:i/>
              </w:rPr>
            </w:pPr>
            <w:r w:rsidRPr="00356212">
              <w:t>Convenio de Cooperación Internacional Proyecto de inversión de prevención de la victimización y la reincidencia de personas en reincorporación.</w:t>
            </w:r>
          </w:p>
        </w:tc>
        <w:tc>
          <w:tcPr>
            <w:tcW w:w="6927" w:type="dxa"/>
          </w:tcPr>
          <w:p w14:paraId="750CE341" w14:textId="77777777" w:rsidR="00B52D35" w:rsidRPr="00356212" w:rsidRDefault="00B52D35" w:rsidP="00B52D35">
            <w:pPr>
              <w:jc w:val="both"/>
            </w:pPr>
            <w:r w:rsidRPr="00356212">
              <w:t>CD-ARN-809-2021</w:t>
            </w:r>
          </w:p>
          <w:p w14:paraId="3CDA5A22" w14:textId="0A772E86" w:rsidR="00B52D35" w:rsidRPr="00C635C1" w:rsidRDefault="009D507C" w:rsidP="00B52D35">
            <w:pPr>
              <w:rPr>
                <w:rStyle w:val="Hipervnculo"/>
                <w:i/>
              </w:rPr>
            </w:pPr>
            <w:hyperlink r:id="rId43" w:history="1">
              <w:r w:rsidR="00B52D35" w:rsidRPr="00356212">
                <w:rPr>
                  <w:rStyle w:val="Hipervnculo"/>
                </w:rPr>
                <w:t>https://community.secop.gov.co/Public/Tendering/ContractNoticeManagement/Index?currentLanguage=es-CO&amp;Page=login&amp;Country=CO&amp;SkinName=CCE</w:t>
              </w:r>
            </w:hyperlink>
          </w:p>
        </w:tc>
      </w:tr>
      <w:tr w:rsidR="005409D3" w:rsidRPr="00920919" w14:paraId="48098463" w14:textId="77777777" w:rsidTr="007C0B43">
        <w:tc>
          <w:tcPr>
            <w:tcW w:w="2424" w:type="dxa"/>
          </w:tcPr>
          <w:p w14:paraId="0B4A9769" w14:textId="3B1CC9DD" w:rsidR="005409D3" w:rsidRPr="00A574AC" w:rsidRDefault="00A574AC" w:rsidP="00ED5251">
            <w:pPr>
              <w:jc w:val="both"/>
              <w:rPr>
                <w:rFonts w:cstheme="minorHAnsi"/>
              </w:rPr>
            </w:pPr>
            <w:r w:rsidRPr="00C37CA1">
              <w:rPr>
                <w:rFonts w:cstheme="minorHAnsi"/>
              </w:rPr>
              <w:t>Convenio 1519 PDR 0012 DE 2021 ARN – Organización Internacional Para las Migraciones</w:t>
            </w:r>
          </w:p>
        </w:tc>
        <w:tc>
          <w:tcPr>
            <w:tcW w:w="6927" w:type="dxa"/>
          </w:tcPr>
          <w:p w14:paraId="479F5EED" w14:textId="3BCAB4DA" w:rsidR="005409D3" w:rsidRPr="00A574AC" w:rsidRDefault="009D507C" w:rsidP="00A574AC">
            <w:pPr>
              <w:jc w:val="center"/>
              <w:rPr>
                <w:i/>
              </w:rPr>
            </w:pPr>
            <w:hyperlink r:id="rId44" w:history="1">
              <w:r w:rsidR="00A574AC" w:rsidRPr="00E73495">
                <w:rPr>
                  <w:rStyle w:val="Hipervnculo"/>
                  <w:i/>
                </w:rPr>
                <w:t>https://www.secop.gov.co/CO1ContractsManagement/Tendering/ProcurementContractEdit/View?docUniqueIdentifier=CO1.PCCNTR.2671748&amp;prevCtxUrl=https%3a%2f%2fwww.secop.gov.co%2fCO1ContractsManagement%2fTendering%2fProcurementContractManagement%2fIndex&amp;prevCtxLbl=Contratos</w:t>
              </w:r>
            </w:hyperlink>
            <w:r w:rsidR="00A574AC">
              <w:rPr>
                <w:i/>
              </w:rPr>
              <w:t xml:space="preserve"> </w:t>
            </w:r>
          </w:p>
        </w:tc>
      </w:tr>
      <w:tr w:rsidR="005409D3" w:rsidRPr="00920919" w14:paraId="5A94EBA1" w14:textId="77777777" w:rsidTr="007C0B43">
        <w:tc>
          <w:tcPr>
            <w:tcW w:w="2424" w:type="dxa"/>
          </w:tcPr>
          <w:p w14:paraId="400A3081" w14:textId="7683E09D" w:rsidR="005409D3" w:rsidRPr="00A574AC" w:rsidRDefault="00A574AC" w:rsidP="00ED5251">
            <w:pPr>
              <w:jc w:val="both"/>
              <w:rPr>
                <w:rFonts w:cstheme="minorHAnsi"/>
              </w:rPr>
            </w:pPr>
            <w:r w:rsidRPr="00C37CA1">
              <w:rPr>
                <w:rFonts w:cstheme="minorHAnsi"/>
              </w:rPr>
              <w:t>Convenio 1521 de 2021 ARN – Organización de los Pueblos Indígenas de la Amazonía Colombiana -OPIAC</w:t>
            </w:r>
          </w:p>
        </w:tc>
        <w:tc>
          <w:tcPr>
            <w:tcW w:w="6927" w:type="dxa"/>
          </w:tcPr>
          <w:p w14:paraId="61F3A1D9" w14:textId="7F2938BF" w:rsidR="005409D3" w:rsidRPr="00920919" w:rsidRDefault="009D507C" w:rsidP="00ED5251">
            <w:pPr>
              <w:jc w:val="both"/>
              <w:rPr>
                <w:sz w:val="24"/>
                <w:szCs w:val="24"/>
              </w:rPr>
            </w:pPr>
            <w:hyperlink r:id="rId45" w:history="1">
              <w:r w:rsidR="00A574AC" w:rsidRPr="00E73495">
                <w:rPr>
                  <w:rStyle w:val="Hipervnculo"/>
                  <w:i/>
                </w:rPr>
                <w:t>https://www.secop.gov.co/CO1ContractsManagement/Tendering/ProcurementContractEdit/View?docUniqueIdentifier=CO1.PCCNTR.2672681&amp;prevCtxUrl=https%3a%2f%2fwww.secop.gov.co%2fCO1ContractsManagement%2fTendering%2fProcurementContractManagement%2fIndex&amp;prevCtxLbl=Contratos</w:t>
              </w:r>
            </w:hyperlink>
            <w:r w:rsidR="00A574AC">
              <w:rPr>
                <w:i/>
              </w:rPr>
              <w:t xml:space="preserve"> </w:t>
            </w:r>
          </w:p>
        </w:tc>
      </w:tr>
      <w:tr w:rsidR="005409D3" w:rsidRPr="00920919" w14:paraId="427B4E50" w14:textId="77777777" w:rsidTr="007C0B43">
        <w:tc>
          <w:tcPr>
            <w:tcW w:w="2424" w:type="dxa"/>
          </w:tcPr>
          <w:p w14:paraId="43F6A126" w14:textId="32EACE5D" w:rsidR="005409D3" w:rsidRPr="00A574AC" w:rsidRDefault="00A574AC" w:rsidP="00ED5251">
            <w:pPr>
              <w:jc w:val="both"/>
              <w:rPr>
                <w:i/>
              </w:rPr>
            </w:pPr>
            <w:r w:rsidRPr="00C37CA1">
              <w:rPr>
                <w:rFonts w:cstheme="minorHAnsi"/>
              </w:rPr>
              <w:t>Convenio 1522 de 2021 ARN – Autoridades Tradicionales Indígenas de Colombia -Gobierno Mayor</w:t>
            </w:r>
          </w:p>
        </w:tc>
        <w:tc>
          <w:tcPr>
            <w:tcW w:w="6927" w:type="dxa"/>
          </w:tcPr>
          <w:p w14:paraId="67910BB7" w14:textId="28C34AF8" w:rsidR="005409D3" w:rsidRPr="00920919" w:rsidRDefault="009D507C" w:rsidP="00ED5251">
            <w:pPr>
              <w:jc w:val="both"/>
              <w:rPr>
                <w:sz w:val="24"/>
                <w:szCs w:val="24"/>
              </w:rPr>
            </w:pPr>
            <w:hyperlink r:id="rId46" w:history="1">
              <w:r w:rsidR="00A574AC" w:rsidRPr="00E73495">
                <w:rPr>
                  <w:rStyle w:val="Hipervnculo"/>
                  <w:i/>
                </w:rPr>
                <w:t>https://www.secop.gov.co/CO1ContractsManagement/Tendering/ProcurementContractEdit/View?docUniqueIdentifier=CO1.PCCNTR.2675742&amp;prevCtxUrl=https%3a%2f%2fwww.secop.gov.co%2fCO1ContractsManagement%2fTendering%2fProcurementContractManagement%2fIndex&amp;prevCtxLbl=Contratos</w:t>
              </w:r>
            </w:hyperlink>
            <w:r w:rsidR="00A574AC">
              <w:rPr>
                <w:i/>
              </w:rPr>
              <w:t xml:space="preserve"> </w:t>
            </w:r>
          </w:p>
        </w:tc>
      </w:tr>
      <w:tr w:rsidR="00715628" w:rsidRPr="00920919" w14:paraId="4968C06E" w14:textId="77777777" w:rsidTr="007C0B43">
        <w:tc>
          <w:tcPr>
            <w:tcW w:w="2424" w:type="dxa"/>
          </w:tcPr>
          <w:p w14:paraId="1CB7DFEB" w14:textId="5640062C" w:rsidR="00715628" w:rsidRPr="00C37CA1" w:rsidRDefault="00715628" w:rsidP="00ED5251">
            <w:pPr>
              <w:jc w:val="both"/>
              <w:rPr>
                <w:rFonts w:cstheme="minorHAnsi"/>
              </w:rPr>
            </w:pPr>
            <w:r w:rsidRPr="00377266">
              <w:rPr>
                <w:rFonts w:cstheme="minorHAnsi"/>
              </w:rPr>
              <w:t>CD-ARN-1066-2018 Convenio de colaboración ARN y Fondo Colombia en PAZ</w:t>
            </w:r>
          </w:p>
        </w:tc>
        <w:tc>
          <w:tcPr>
            <w:tcW w:w="6927" w:type="dxa"/>
          </w:tcPr>
          <w:p w14:paraId="5516091F" w14:textId="0D0F102E" w:rsidR="00715628" w:rsidRDefault="009D507C" w:rsidP="00ED5251">
            <w:pPr>
              <w:jc w:val="both"/>
              <w:rPr>
                <w:i/>
              </w:rPr>
            </w:pPr>
            <w:hyperlink r:id="rId47" w:history="1">
              <w:r w:rsidR="00715628" w:rsidRPr="000132B0">
                <w:rPr>
                  <w:rStyle w:val="Hipervnculo"/>
                  <w:rFonts w:cstheme="minorHAnsi"/>
                </w:rPr>
                <w:t>https://www.contratos.gov.co/consultas/detalleProceso.do?numConstancia=18-12-7733056</w:t>
              </w:r>
            </w:hyperlink>
            <w:r w:rsidR="00715628">
              <w:rPr>
                <w:rStyle w:val="Hipervnculo"/>
                <w:rFonts w:cstheme="minorHAnsi"/>
              </w:rPr>
              <w:t xml:space="preserve"> </w:t>
            </w:r>
          </w:p>
        </w:tc>
      </w:tr>
      <w:tr w:rsidR="00715628" w:rsidRPr="00920919" w14:paraId="2499BC3D" w14:textId="77777777" w:rsidTr="007C0B43">
        <w:tc>
          <w:tcPr>
            <w:tcW w:w="2424" w:type="dxa"/>
          </w:tcPr>
          <w:p w14:paraId="3CB4E6AD" w14:textId="77777777" w:rsidR="00B52D35" w:rsidRPr="00356212" w:rsidRDefault="00B52D35" w:rsidP="00B52D35">
            <w:pPr>
              <w:jc w:val="both"/>
            </w:pPr>
            <w:r w:rsidRPr="00356212">
              <w:t>1696/2020</w:t>
            </w:r>
          </w:p>
          <w:p w14:paraId="7BFB1407" w14:textId="03024BED" w:rsidR="00715628" w:rsidRPr="00C37CA1" w:rsidRDefault="00B52D35" w:rsidP="00B52D35">
            <w:pPr>
              <w:jc w:val="both"/>
              <w:rPr>
                <w:rFonts w:cstheme="minorHAnsi"/>
              </w:rPr>
            </w:pPr>
            <w:r w:rsidRPr="00356212">
              <w:lastRenderedPageBreak/>
              <w:t>Convenio de Cooperación entre la Organización Internacional para las Migraciones- OIM</w:t>
            </w:r>
          </w:p>
        </w:tc>
        <w:tc>
          <w:tcPr>
            <w:tcW w:w="6927" w:type="dxa"/>
          </w:tcPr>
          <w:p w14:paraId="36419308" w14:textId="77777777" w:rsidR="00B52D35" w:rsidRPr="00356212" w:rsidRDefault="00B52D35" w:rsidP="00B52D35">
            <w:r w:rsidRPr="00356212">
              <w:lastRenderedPageBreak/>
              <w:t>CD-ARN-883-2020</w:t>
            </w:r>
          </w:p>
          <w:p w14:paraId="0CB27D0A" w14:textId="77777777" w:rsidR="00B52D35" w:rsidRPr="00356212" w:rsidRDefault="00B52D35" w:rsidP="00B52D35"/>
          <w:p w14:paraId="3673A806" w14:textId="77777777" w:rsidR="00B52D35" w:rsidRPr="00356212" w:rsidRDefault="009D507C" w:rsidP="00B52D35">
            <w:hyperlink r:id="rId48" w:history="1">
              <w:r w:rsidR="00B52D35" w:rsidRPr="00356212">
                <w:rPr>
                  <w:rStyle w:val="Hipervnculo"/>
                </w:rPr>
                <w:t>https://community.secop.gov.co/Public/Tendering/ContractNoticeManagement/Index?currentLanguage=es-CO&amp;Page=login&amp;Country=CO&amp;SkinName=CCE</w:t>
              </w:r>
            </w:hyperlink>
          </w:p>
          <w:p w14:paraId="6A3C4115" w14:textId="77777777" w:rsidR="00715628" w:rsidRDefault="00715628" w:rsidP="00ED5251">
            <w:pPr>
              <w:jc w:val="both"/>
              <w:rPr>
                <w:i/>
              </w:rPr>
            </w:pPr>
          </w:p>
        </w:tc>
      </w:tr>
    </w:tbl>
    <w:p w14:paraId="727505A9" w14:textId="02BE6F86" w:rsidR="00ED5251" w:rsidRPr="00920919" w:rsidRDefault="00ED5251" w:rsidP="00ED5251">
      <w:pPr>
        <w:spacing w:after="0" w:line="240" w:lineRule="auto"/>
        <w:jc w:val="both"/>
        <w:rPr>
          <w:sz w:val="24"/>
          <w:szCs w:val="24"/>
        </w:rPr>
      </w:pPr>
      <w:r w:rsidRPr="00920919">
        <w:rPr>
          <w:sz w:val="24"/>
          <w:szCs w:val="24"/>
        </w:rPr>
        <w:lastRenderedPageBreak/>
        <w:t xml:space="preserve"> </w:t>
      </w:r>
    </w:p>
    <w:p w14:paraId="3C779DA3" w14:textId="19FD8459" w:rsidR="009E05E5" w:rsidRPr="00920919" w:rsidRDefault="009E05E5" w:rsidP="009E05E5">
      <w:pPr>
        <w:spacing w:after="0" w:line="240" w:lineRule="auto"/>
        <w:jc w:val="both"/>
        <w:rPr>
          <w:sz w:val="24"/>
          <w:szCs w:val="24"/>
        </w:rPr>
      </w:pPr>
      <w:r w:rsidRPr="00920919">
        <w:rPr>
          <w:sz w:val="24"/>
          <w:szCs w:val="24"/>
        </w:rPr>
        <w:t xml:space="preserve">En caso de tener comentarios o dudas sobre el presente informe de rendición de cuentas del Acuerdo de Paz </w:t>
      </w:r>
      <w:r w:rsidR="003C39B2" w:rsidRPr="00920919">
        <w:rPr>
          <w:sz w:val="24"/>
          <w:szCs w:val="24"/>
        </w:rPr>
        <w:t xml:space="preserve">de </w:t>
      </w:r>
      <w:r w:rsidR="006736BB" w:rsidRPr="00920919">
        <w:rPr>
          <w:sz w:val="24"/>
          <w:szCs w:val="24"/>
        </w:rPr>
        <w:t>(escriba el nombre de su entidad)</w:t>
      </w:r>
      <w:r w:rsidRPr="00920919">
        <w:rPr>
          <w:sz w:val="24"/>
          <w:szCs w:val="24"/>
        </w:rPr>
        <w:t>, puede comunicarse con:</w:t>
      </w:r>
    </w:p>
    <w:p w14:paraId="4ED76E67" w14:textId="101F9A95" w:rsidR="009E05E5" w:rsidRPr="00920919" w:rsidRDefault="009E05E5" w:rsidP="009E05E5">
      <w:pPr>
        <w:spacing w:after="0" w:line="240" w:lineRule="auto"/>
        <w:jc w:val="both"/>
        <w:rPr>
          <w:sz w:val="24"/>
          <w:szCs w:val="24"/>
        </w:rPr>
      </w:pPr>
    </w:p>
    <w:p w14:paraId="277A0CB7" w14:textId="77777777" w:rsidR="0001117F" w:rsidRPr="00920919"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51"/>
        <w:gridCol w:w="4387"/>
      </w:tblGrid>
      <w:tr w:rsidR="009E05E5" w:rsidRPr="00920919" w14:paraId="3481314F" w14:textId="77777777" w:rsidTr="0001117F">
        <w:tc>
          <w:tcPr>
            <w:tcW w:w="4484" w:type="dxa"/>
            <w:shd w:val="clear" w:color="auto" w:fill="auto"/>
          </w:tcPr>
          <w:p w14:paraId="116CFA6A" w14:textId="77777777" w:rsidR="0001117F" w:rsidRPr="00920919" w:rsidRDefault="0001117F" w:rsidP="0001117F">
            <w:pPr>
              <w:jc w:val="center"/>
              <w:rPr>
                <w:color w:val="002060"/>
                <w:sz w:val="24"/>
                <w:szCs w:val="24"/>
              </w:rPr>
            </w:pPr>
          </w:p>
          <w:p w14:paraId="7661DC81" w14:textId="085E9DCE" w:rsidR="009E05E5" w:rsidRPr="00920919" w:rsidRDefault="003C39B2" w:rsidP="0001117F">
            <w:pPr>
              <w:jc w:val="center"/>
              <w:rPr>
                <w:color w:val="002060"/>
                <w:sz w:val="24"/>
                <w:szCs w:val="24"/>
              </w:rPr>
            </w:pPr>
            <w:r w:rsidRPr="00B52D35">
              <w:rPr>
                <w:color w:val="002060"/>
                <w:sz w:val="24"/>
                <w:szCs w:val="24"/>
              </w:rPr>
              <w:t xml:space="preserve">Oficina </w:t>
            </w:r>
            <w:r w:rsidR="00B52D35" w:rsidRPr="00B52D35">
              <w:rPr>
                <w:color w:val="002060"/>
                <w:sz w:val="24"/>
                <w:szCs w:val="24"/>
              </w:rPr>
              <w:t xml:space="preserve">Asesora </w:t>
            </w:r>
            <w:r w:rsidRPr="00B52D35">
              <w:rPr>
                <w:color w:val="002060"/>
                <w:sz w:val="24"/>
                <w:szCs w:val="24"/>
              </w:rPr>
              <w:t>de Planeación</w:t>
            </w:r>
          </w:p>
          <w:p w14:paraId="1B6A898F" w14:textId="77777777" w:rsidR="0001117F" w:rsidRPr="00920919" w:rsidRDefault="0001117F" w:rsidP="00444DC1">
            <w:pPr>
              <w:jc w:val="center"/>
              <w:rPr>
                <w:color w:val="002060"/>
                <w:sz w:val="24"/>
                <w:szCs w:val="24"/>
                <w:highlight w:val="yellow"/>
              </w:rPr>
            </w:pPr>
          </w:p>
          <w:p w14:paraId="235546FD" w14:textId="5B9E76A5" w:rsidR="009E05E5" w:rsidRPr="00920919" w:rsidRDefault="009E05E5" w:rsidP="0001117F">
            <w:pPr>
              <w:rPr>
                <w:color w:val="002060"/>
                <w:sz w:val="24"/>
                <w:szCs w:val="24"/>
              </w:rPr>
            </w:pPr>
            <w:r w:rsidRPr="00920919">
              <w:rPr>
                <w:color w:val="002060"/>
                <w:sz w:val="24"/>
                <w:szCs w:val="24"/>
              </w:rPr>
              <w:t>Nombre:</w:t>
            </w:r>
            <w:r w:rsidR="00B52D35">
              <w:rPr>
                <w:color w:val="002060"/>
                <w:sz w:val="24"/>
                <w:szCs w:val="24"/>
              </w:rPr>
              <w:t xml:space="preserve"> Celmira Frasser Acevedo</w:t>
            </w:r>
          </w:p>
          <w:p w14:paraId="199110C9" w14:textId="40A6AEC7" w:rsidR="009E05E5" w:rsidRPr="00920919" w:rsidRDefault="009E05E5" w:rsidP="0001117F">
            <w:pPr>
              <w:rPr>
                <w:color w:val="002060"/>
                <w:sz w:val="24"/>
                <w:szCs w:val="24"/>
              </w:rPr>
            </w:pPr>
            <w:r w:rsidRPr="00920919">
              <w:rPr>
                <w:color w:val="002060"/>
                <w:sz w:val="24"/>
                <w:szCs w:val="24"/>
              </w:rPr>
              <w:t>Correo:</w:t>
            </w:r>
            <w:r w:rsidR="00B52D35">
              <w:rPr>
                <w:color w:val="002060"/>
                <w:sz w:val="24"/>
                <w:szCs w:val="24"/>
              </w:rPr>
              <w:t xml:space="preserve"> </w:t>
            </w:r>
            <w:hyperlink r:id="rId49" w:history="1">
              <w:r w:rsidR="00B52D35" w:rsidRPr="00E73495">
                <w:rPr>
                  <w:rStyle w:val="Hipervnculo"/>
                </w:rPr>
                <w:t>celmirafrasser@reincorporacion.gov.co</w:t>
              </w:r>
            </w:hyperlink>
            <w:r w:rsidR="00B52D35">
              <w:t xml:space="preserve"> </w:t>
            </w:r>
          </w:p>
          <w:p w14:paraId="6D3D9D53" w14:textId="5444A5AC" w:rsidR="009E05E5" w:rsidRPr="00920919" w:rsidRDefault="009E05E5" w:rsidP="0001117F">
            <w:pPr>
              <w:rPr>
                <w:color w:val="002060"/>
                <w:sz w:val="24"/>
                <w:szCs w:val="24"/>
              </w:rPr>
            </w:pPr>
            <w:r w:rsidRPr="00920919">
              <w:rPr>
                <w:color w:val="002060"/>
                <w:sz w:val="24"/>
                <w:szCs w:val="24"/>
              </w:rPr>
              <w:t>Teléfono:</w:t>
            </w:r>
            <w:r w:rsidR="00B52D35">
              <w:rPr>
                <w:color w:val="002060"/>
                <w:sz w:val="24"/>
                <w:szCs w:val="24"/>
              </w:rPr>
              <w:t xml:space="preserve"> </w:t>
            </w:r>
            <w:r w:rsidR="00BE1F59" w:rsidRPr="00BE1F59">
              <w:rPr>
                <w:color w:val="002060"/>
                <w:sz w:val="24"/>
                <w:szCs w:val="24"/>
              </w:rPr>
              <w:t>(601) 4430020 Ext.10220</w:t>
            </w:r>
          </w:p>
          <w:p w14:paraId="6C0E56F3" w14:textId="35F45996" w:rsidR="009E05E5" w:rsidRPr="00920919" w:rsidRDefault="009E05E5" w:rsidP="0001117F">
            <w:pPr>
              <w:rPr>
                <w:color w:val="002060"/>
                <w:sz w:val="24"/>
                <w:szCs w:val="24"/>
              </w:rPr>
            </w:pPr>
            <w:r w:rsidRPr="00920919">
              <w:rPr>
                <w:color w:val="002060"/>
                <w:sz w:val="24"/>
                <w:szCs w:val="24"/>
              </w:rPr>
              <w:t>Horario de Atención:</w:t>
            </w:r>
            <w:r w:rsidR="00B52D35">
              <w:rPr>
                <w:color w:val="002060"/>
                <w:sz w:val="24"/>
                <w:szCs w:val="24"/>
              </w:rPr>
              <w:t xml:space="preserve"> 8:00 a.m. a 5:00 p.m.</w:t>
            </w:r>
          </w:p>
          <w:p w14:paraId="6FC95CBB" w14:textId="612BE573" w:rsidR="0001117F" w:rsidRPr="00920919" w:rsidRDefault="0001117F" w:rsidP="00444DC1">
            <w:pPr>
              <w:jc w:val="center"/>
              <w:rPr>
                <w:color w:val="002060"/>
                <w:sz w:val="24"/>
                <w:szCs w:val="24"/>
              </w:rPr>
            </w:pPr>
          </w:p>
        </w:tc>
        <w:tc>
          <w:tcPr>
            <w:tcW w:w="4485" w:type="dxa"/>
            <w:shd w:val="clear" w:color="auto" w:fill="auto"/>
          </w:tcPr>
          <w:p w14:paraId="5B0329A8" w14:textId="77777777" w:rsidR="0001117F" w:rsidRPr="00920919" w:rsidRDefault="0001117F" w:rsidP="0001117F">
            <w:pPr>
              <w:jc w:val="center"/>
              <w:rPr>
                <w:color w:val="002060"/>
                <w:sz w:val="24"/>
                <w:szCs w:val="24"/>
              </w:rPr>
            </w:pPr>
          </w:p>
          <w:p w14:paraId="1AF75B36" w14:textId="4EE64A38" w:rsidR="009E05E5" w:rsidRPr="00920919" w:rsidRDefault="003C39B2" w:rsidP="0001117F">
            <w:pPr>
              <w:jc w:val="center"/>
              <w:rPr>
                <w:color w:val="002060"/>
                <w:sz w:val="24"/>
                <w:szCs w:val="24"/>
              </w:rPr>
            </w:pPr>
            <w:r w:rsidRPr="00920919">
              <w:rPr>
                <w:color w:val="002060"/>
                <w:sz w:val="24"/>
                <w:szCs w:val="24"/>
              </w:rPr>
              <w:t>Enlace de Estabilización</w:t>
            </w:r>
          </w:p>
          <w:p w14:paraId="250A70A0" w14:textId="77777777" w:rsidR="0001117F" w:rsidRPr="00920919" w:rsidRDefault="0001117F" w:rsidP="00444DC1">
            <w:pPr>
              <w:jc w:val="center"/>
              <w:rPr>
                <w:color w:val="002060"/>
                <w:sz w:val="24"/>
                <w:szCs w:val="24"/>
                <w:highlight w:val="yellow"/>
              </w:rPr>
            </w:pPr>
          </w:p>
          <w:p w14:paraId="753A987E" w14:textId="77777777" w:rsidR="00A45B01" w:rsidRPr="00920919" w:rsidRDefault="00A45B01" w:rsidP="00A45B01">
            <w:pPr>
              <w:rPr>
                <w:color w:val="002060"/>
                <w:sz w:val="24"/>
                <w:szCs w:val="24"/>
              </w:rPr>
            </w:pPr>
            <w:r w:rsidRPr="00920919">
              <w:rPr>
                <w:color w:val="002060"/>
                <w:sz w:val="24"/>
                <w:szCs w:val="24"/>
              </w:rPr>
              <w:t>Nombre:</w:t>
            </w:r>
            <w:r>
              <w:rPr>
                <w:color w:val="002060"/>
                <w:sz w:val="24"/>
                <w:szCs w:val="24"/>
              </w:rPr>
              <w:t xml:space="preserve"> Celmira Frasser Acevedo</w:t>
            </w:r>
          </w:p>
          <w:p w14:paraId="63F9067E" w14:textId="77777777" w:rsidR="00A45B01" w:rsidRPr="00920919" w:rsidRDefault="00A45B01" w:rsidP="00A45B01">
            <w:pPr>
              <w:rPr>
                <w:color w:val="002060"/>
                <w:sz w:val="24"/>
                <w:szCs w:val="24"/>
              </w:rPr>
            </w:pPr>
            <w:r w:rsidRPr="00920919">
              <w:rPr>
                <w:color w:val="002060"/>
                <w:sz w:val="24"/>
                <w:szCs w:val="24"/>
              </w:rPr>
              <w:t>Correo:</w:t>
            </w:r>
            <w:r>
              <w:rPr>
                <w:color w:val="002060"/>
                <w:sz w:val="24"/>
                <w:szCs w:val="24"/>
              </w:rPr>
              <w:t xml:space="preserve"> </w:t>
            </w:r>
            <w:hyperlink r:id="rId50" w:history="1">
              <w:r w:rsidRPr="00E73495">
                <w:rPr>
                  <w:rStyle w:val="Hipervnculo"/>
                </w:rPr>
                <w:t>celmirafrasser@reincorporacion.gov.co</w:t>
              </w:r>
            </w:hyperlink>
            <w:r>
              <w:t xml:space="preserve"> </w:t>
            </w:r>
          </w:p>
          <w:p w14:paraId="637AFF31" w14:textId="77777777" w:rsidR="00A45B01" w:rsidRPr="00920919" w:rsidRDefault="00A45B01" w:rsidP="00A45B01">
            <w:pPr>
              <w:rPr>
                <w:color w:val="002060"/>
                <w:sz w:val="24"/>
                <w:szCs w:val="24"/>
              </w:rPr>
            </w:pPr>
            <w:r w:rsidRPr="00920919">
              <w:rPr>
                <w:color w:val="002060"/>
                <w:sz w:val="24"/>
                <w:szCs w:val="24"/>
              </w:rPr>
              <w:t>Teléfono:</w:t>
            </w:r>
            <w:r>
              <w:rPr>
                <w:color w:val="002060"/>
                <w:sz w:val="24"/>
                <w:szCs w:val="24"/>
              </w:rPr>
              <w:t xml:space="preserve"> </w:t>
            </w:r>
            <w:r w:rsidRPr="00BE1F59">
              <w:rPr>
                <w:color w:val="002060"/>
                <w:sz w:val="24"/>
                <w:szCs w:val="24"/>
              </w:rPr>
              <w:t>(601) 4430020 Ext.10220</w:t>
            </w:r>
          </w:p>
          <w:p w14:paraId="009CD877" w14:textId="77777777" w:rsidR="00A45B01" w:rsidRPr="00920919" w:rsidRDefault="00A45B01" w:rsidP="00A45B01">
            <w:pPr>
              <w:rPr>
                <w:color w:val="002060"/>
                <w:sz w:val="24"/>
                <w:szCs w:val="24"/>
              </w:rPr>
            </w:pPr>
            <w:r w:rsidRPr="00920919">
              <w:rPr>
                <w:color w:val="002060"/>
                <w:sz w:val="24"/>
                <w:szCs w:val="24"/>
              </w:rPr>
              <w:t>Horario de Atención:</w:t>
            </w:r>
            <w:r>
              <w:rPr>
                <w:color w:val="002060"/>
                <w:sz w:val="24"/>
                <w:szCs w:val="24"/>
              </w:rPr>
              <w:t xml:space="preserve"> 8:00 a.m. a 5:00 p.m.</w:t>
            </w:r>
          </w:p>
          <w:p w14:paraId="7F713167" w14:textId="77777777" w:rsidR="009E05E5" w:rsidRPr="00920919" w:rsidRDefault="009E05E5" w:rsidP="00444DC1">
            <w:pPr>
              <w:jc w:val="center"/>
              <w:rPr>
                <w:color w:val="002060"/>
                <w:sz w:val="24"/>
                <w:szCs w:val="24"/>
              </w:rPr>
            </w:pPr>
          </w:p>
        </w:tc>
      </w:tr>
      <w:tr w:rsidR="009E05E5" w:rsidRPr="00920919" w14:paraId="53BE9C4B" w14:textId="77777777" w:rsidTr="0001117F">
        <w:tc>
          <w:tcPr>
            <w:tcW w:w="4484" w:type="dxa"/>
            <w:shd w:val="clear" w:color="auto" w:fill="auto"/>
          </w:tcPr>
          <w:p w14:paraId="7BA970B0" w14:textId="77777777" w:rsidR="0001117F" w:rsidRPr="00920919" w:rsidRDefault="0001117F" w:rsidP="0001117F">
            <w:pPr>
              <w:jc w:val="center"/>
              <w:rPr>
                <w:color w:val="002060"/>
                <w:sz w:val="24"/>
                <w:szCs w:val="24"/>
              </w:rPr>
            </w:pPr>
          </w:p>
          <w:p w14:paraId="5B4D64F6" w14:textId="725D1A62" w:rsidR="009E05E5" w:rsidRPr="00920919" w:rsidRDefault="009E05E5" w:rsidP="0001117F">
            <w:pPr>
              <w:jc w:val="center"/>
              <w:rPr>
                <w:color w:val="002060"/>
                <w:sz w:val="24"/>
                <w:szCs w:val="24"/>
              </w:rPr>
            </w:pPr>
            <w:r w:rsidRPr="00920919">
              <w:rPr>
                <w:color w:val="002060"/>
                <w:sz w:val="24"/>
                <w:szCs w:val="24"/>
              </w:rPr>
              <w:t xml:space="preserve">Jefe de Control Interno </w:t>
            </w:r>
          </w:p>
          <w:p w14:paraId="6504D117" w14:textId="77777777" w:rsidR="0001117F" w:rsidRPr="00920919" w:rsidRDefault="0001117F" w:rsidP="00444DC1">
            <w:pPr>
              <w:jc w:val="center"/>
              <w:rPr>
                <w:color w:val="002060"/>
                <w:sz w:val="24"/>
                <w:szCs w:val="24"/>
                <w:highlight w:val="yellow"/>
              </w:rPr>
            </w:pPr>
          </w:p>
          <w:p w14:paraId="43271339" w14:textId="320557AE" w:rsidR="009E05E5" w:rsidRPr="00920919" w:rsidRDefault="009E05E5" w:rsidP="0001117F">
            <w:pPr>
              <w:rPr>
                <w:color w:val="002060"/>
                <w:sz w:val="24"/>
                <w:szCs w:val="24"/>
              </w:rPr>
            </w:pPr>
            <w:r w:rsidRPr="00920919">
              <w:rPr>
                <w:color w:val="002060"/>
                <w:sz w:val="24"/>
                <w:szCs w:val="24"/>
              </w:rPr>
              <w:t>Nombre:</w:t>
            </w:r>
            <w:r w:rsidR="00BE1F59">
              <w:rPr>
                <w:color w:val="002060"/>
                <w:sz w:val="24"/>
                <w:szCs w:val="24"/>
              </w:rPr>
              <w:t xml:space="preserve"> </w:t>
            </w:r>
            <w:r w:rsidR="00BE1F59" w:rsidRPr="00BE1F59">
              <w:rPr>
                <w:color w:val="002060"/>
                <w:sz w:val="24"/>
                <w:szCs w:val="24"/>
              </w:rPr>
              <w:t>Eduardo Antonio Sanguinetti Romero</w:t>
            </w:r>
          </w:p>
          <w:p w14:paraId="4D195416" w14:textId="3B886A38" w:rsidR="009E05E5" w:rsidRPr="00920919" w:rsidRDefault="009E05E5" w:rsidP="0001117F">
            <w:pPr>
              <w:rPr>
                <w:color w:val="002060"/>
                <w:sz w:val="24"/>
                <w:szCs w:val="24"/>
              </w:rPr>
            </w:pPr>
            <w:r w:rsidRPr="00920919">
              <w:rPr>
                <w:color w:val="002060"/>
                <w:sz w:val="24"/>
                <w:szCs w:val="24"/>
              </w:rPr>
              <w:t>Correo:</w:t>
            </w:r>
            <w:r w:rsidR="00BE1F59">
              <w:rPr>
                <w:color w:val="002060"/>
                <w:sz w:val="24"/>
                <w:szCs w:val="24"/>
              </w:rPr>
              <w:t xml:space="preserve"> </w:t>
            </w:r>
            <w:hyperlink r:id="rId51" w:history="1">
              <w:r w:rsidR="00BE1F59" w:rsidRPr="00E73495">
                <w:rPr>
                  <w:rStyle w:val="Hipervnculo"/>
                </w:rPr>
                <w:t>eduardosanguinetti@reincorporacion.gov.co</w:t>
              </w:r>
            </w:hyperlink>
            <w:r w:rsidR="00BE1F59">
              <w:t xml:space="preserve"> </w:t>
            </w:r>
          </w:p>
          <w:p w14:paraId="5FBBBCC9" w14:textId="1545C82D" w:rsidR="009E05E5" w:rsidRPr="00920919" w:rsidRDefault="009E05E5" w:rsidP="0001117F">
            <w:pPr>
              <w:rPr>
                <w:color w:val="002060"/>
                <w:sz w:val="24"/>
                <w:szCs w:val="24"/>
              </w:rPr>
            </w:pPr>
            <w:r w:rsidRPr="00920919">
              <w:rPr>
                <w:color w:val="002060"/>
                <w:sz w:val="24"/>
                <w:szCs w:val="24"/>
              </w:rPr>
              <w:t>Teléfono:</w:t>
            </w:r>
            <w:r w:rsidR="00BE1F59">
              <w:rPr>
                <w:color w:val="002060"/>
                <w:sz w:val="24"/>
                <w:szCs w:val="24"/>
              </w:rPr>
              <w:t xml:space="preserve"> </w:t>
            </w:r>
            <w:bookmarkStart w:id="4" w:name="_Hlk99029612"/>
            <w:r w:rsidR="00BE1F59" w:rsidRPr="00BE1F59">
              <w:rPr>
                <w:color w:val="002060"/>
                <w:sz w:val="24"/>
                <w:szCs w:val="24"/>
              </w:rPr>
              <w:t xml:space="preserve">(601) 4430020 </w:t>
            </w:r>
            <w:bookmarkEnd w:id="4"/>
            <w:r w:rsidR="00BE1F59" w:rsidRPr="00BE1F59">
              <w:rPr>
                <w:color w:val="002060"/>
                <w:sz w:val="24"/>
                <w:szCs w:val="24"/>
              </w:rPr>
              <w:t>Ext.10</w:t>
            </w:r>
            <w:r w:rsidR="00BE1F59">
              <w:rPr>
                <w:color w:val="002060"/>
                <w:sz w:val="24"/>
                <w:szCs w:val="24"/>
              </w:rPr>
              <w:t>250</w:t>
            </w:r>
          </w:p>
          <w:p w14:paraId="3DA63F8D" w14:textId="06CF50AD" w:rsidR="009E05E5" w:rsidRPr="00920919" w:rsidRDefault="009E05E5" w:rsidP="0001117F">
            <w:pPr>
              <w:rPr>
                <w:color w:val="002060"/>
                <w:sz w:val="24"/>
                <w:szCs w:val="24"/>
              </w:rPr>
            </w:pPr>
            <w:r w:rsidRPr="00920919">
              <w:rPr>
                <w:color w:val="002060"/>
                <w:sz w:val="24"/>
                <w:szCs w:val="24"/>
              </w:rPr>
              <w:t>Horario de Atención</w:t>
            </w:r>
            <w:r w:rsidR="00BE1F59">
              <w:rPr>
                <w:color w:val="002060"/>
                <w:sz w:val="24"/>
                <w:szCs w:val="24"/>
              </w:rPr>
              <w:t>: 8:00 a.m. a 5:00 p.m.</w:t>
            </w:r>
          </w:p>
          <w:p w14:paraId="40466155" w14:textId="152EC0C7" w:rsidR="0001117F" w:rsidRPr="00920919" w:rsidRDefault="0001117F" w:rsidP="00444DC1">
            <w:pPr>
              <w:jc w:val="center"/>
              <w:rPr>
                <w:color w:val="002060"/>
                <w:sz w:val="24"/>
                <w:szCs w:val="24"/>
              </w:rPr>
            </w:pPr>
          </w:p>
        </w:tc>
        <w:tc>
          <w:tcPr>
            <w:tcW w:w="4485" w:type="dxa"/>
            <w:shd w:val="clear" w:color="auto" w:fill="auto"/>
          </w:tcPr>
          <w:p w14:paraId="036844B9" w14:textId="77777777" w:rsidR="0001117F" w:rsidRPr="00920919" w:rsidRDefault="0001117F" w:rsidP="0001117F">
            <w:pPr>
              <w:jc w:val="center"/>
              <w:rPr>
                <w:color w:val="002060"/>
                <w:sz w:val="24"/>
                <w:szCs w:val="24"/>
              </w:rPr>
            </w:pPr>
          </w:p>
          <w:p w14:paraId="6710CC73" w14:textId="60CB43F3" w:rsidR="009E05E5" w:rsidRPr="00920919" w:rsidRDefault="003C39B2" w:rsidP="0001117F">
            <w:pPr>
              <w:jc w:val="center"/>
              <w:rPr>
                <w:color w:val="002060"/>
                <w:sz w:val="24"/>
                <w:szCs w:val="24"/>
              </w:rPr>
            </w:pPr>
            <w:r w:rsidRPr="00920919">
              <w:rPr>
                <w:color w:val="002060"/>
                <w:sz w:val="24"/>
                <w:szCs w:val="24"/>
              </w:rPr>
              <w:t>Servicio al Ciudadano</w:t>
            </w:r>
          </w:p>
          <w:p w14:paraId="481FB3E7" w14:textId="77777777" w:rsidR="0001117F" w:rsidRPr="00920919" w:rsidRDefault="0001117F" w:rsidP="00444DC1">
            <w:pPr>
              <w:jc w:val="center"/>
              <w:rPr>
                <w:color w:val="002060"/>
                <w:sz w:val="24"/>
                <w:szCs w:val="24"/>
              </w:rPr>
            </w:pPr>
          </w:p>
          <w:p w14:paraId="0A803810" w14:textId="42162998" w:rsidR="009E05E5" w:rsidRPr="00920919" w:rsidRDefault="009E05E5" w:rsidP="0001117F">
            <w:pPr>
              <w:rPr>
                <w:color w:val="002060"/>
                <w:sz w:val="24"/>
                <w:szCs w:val="24"/>
              </w:rPr>
            </w:pPr>
            <w:r w:rsidRPr="00920919">
              <w:rPr>
                <w:color w:val="002060"/>
                <w:sz w:val="24"/>
                <w:szCs w:val="24"/>
              </w:rPr>
              <w:t>Nombre:</w:t>
            </w:r>
            <w:r w:rsidR="00BE1F59">
              <w:rPr>
                <w:color w:val="002060"/>
                <w:sz w:val="24"/>
                <w:szCs w:val="24"/>
              </w:rPr>
              <w:t xml:space="preserve"> </w:t>
            </w:r>
            <w:r w:rsidR="00BE1F59" w:rsidRPr="00BE1F59">
              <w:rPr>
                <w:color w:val="002060"/>
                <w:sz w:val="24"/>
                <w:szCs w:val="24"/>
              </w:rPr>
              <w:t>Oscar Javier Rey Caro</w:t>
            </w:r>
          </w:p>
          <w:p w14:paraId="68D17AB0" w14:textId="77777777" w:rsidR="00BE1F59" w:rsidRDefault="009E05E5" w:rsidP="00BE1F59">
            <w:pPr>
              <w:rPr>
                <w:lang w:val="es-CO"/>
              </w:rPr>
            </w:pPr>
            <w:r w:rsidRPr="00920919">
              <w:rPr>
                <w:color w:val="002060"/>
                <w:sz w:val="24"/>
                <w:szCs w:val="24"/>
              </w:rPr>
              <w:t>Correo:</w:t>
            </w:r>
            <w:r w:rsidR="00BE1F59">
              <w:rPr>
                <w:color w:val="002060"/>
                <w:sz w:val="24"/>
                <w:szCs w:val="24"/>
              </w:rPr>
              <w:t xml:space="preserve"> </w:t>
            </w:r>
            <w:hyperlink r:id="rId52" w:history="1">
              <w:r w:rsidR="00BE1F59">
                <w:rPr>
                  <w:rStyle w:val="Hipervnculo"/>
                </w:rPr>
                <w:t>oscarrey@reincorporacion.gov.co</w:t>
              </w:r>
            </w:hyperlink>
          </w:p>
          <w:p w14:paraId="5FA6BA86" w14:textId="3780AD04" w:rsidR="009E05E5" w:rsidRPr="00920919" w:rsidRDefault="009E05E5" w:rsidP="0001117F">
            <w:pPr>
              <w:rPr>
                <w:color w:val="002060"/>
                <w:sz w:val="24"/>
                <w:szCs w:val="24"/>
              </w:rPr>
            </w:pPr>
            <w:r w:rsidRPr="00920919">
              <w:rPr>
                <w:color w:val="002060"/>
                <w:sz w:val="24"/>
                <w:szCs w:val="24"/>
              </w:rPr>
              <w:t>Teléfono:</w:t>
            </w:r>
            <w:r w:rsidR="00BE1F59">
              <w:rPr>
                <w:color w:val="002060"/>
                <w:sz w:val="24"/>
                <w:szCs w:val="24"/>
              </w:rPr>
              <w:t xml:space="preserve"> </w:t>
            </w:r>
            <w:r w:rsidR="00BE1F59" w:rsidRPr="00BE1F59">
              <w:rPr>
                <w:color w:val="002060"/>
                <w:sz w:val="24"/>
                <w:szCs w:val="24"/>
              </w:rPr>
              <w:t>(601) 4430020</w:t>
            </w:r>
          </w:p>
          <w:p w14:paraId="1A4E9534" w14:textId="7E8DBBB3" w:rsidR="009E05E5" w:rsidRPr="00920919" w:rsidRDefault="009E05E5" w:rsidP="0001117F">
            <w:pPr>
              <w:rPr>
                <w:color w:val="002060"/>
                <w:sz w:val="24"/>
                <w:szCs w:val="24"/>
              </w:rPr>
            </w:pPr>
            <w:r w:rsidRPr="00920919">
              <w:rPr>
                <w:color w:val="002060"/>
                <w:sz w:val="24"/>
                <w:szCs w:val="24"/>
              </w:rPr>
              <w:t>Horario de Atención</w:t>
            </w:r>
            <w:r w:rsidR="00BE1F59">
              <w:rPr>
                <w:color w:val="002060"/>
                <w:sz w:val="24"/>
                <w:szCs w:val="24"/>
              </w:rPr>
              <w:t>: 8:00 a.m. a 5:00 p.m.</w:t>
            </w:r>
          </w:p>
        </w:tc>
      </w:tr>
    </w:tbl>
    <w:p w14:paraId="39B353F0" w14:textId="77777777" w:rsidR="009E05E5" w:rsidRPr="00920919" w:rsidRDefault="009E05E5" w:rsidP="009E05E5">
      <w:pPr>
        <w:spacing w:after="0" w:line="240" w:lineRule="auto"/>
        <w:jc w:val="both"/>
        <w:rPr>
          <w:sz w:val="24"/>
          <w:szCs w:val="24"/>
        </w:rPr>
      </w:pPr>
    </w:p>
    <w:p w14:paraId="70574093" w14:textId="0392398A" w:rsidR="00ED5251" w:rsidRPr="00920919" w:rsidRDefault="0001117F" w:rsidP="005965DF">
      <w:pPr>
        <w:spacing w:after="0" w:line="240" w:lineRule="auto"/>
        <w:jc w:val="both"/>
        <w:rPr>
          <w:sz w:val="24"/>
          <w:szCs w:val="24"/>
        </w:rPr>
      </w:pPr>
      <w:r w:rsidRPr="00920919">
        <w:rPr>
          <w:sz w:val="24"/>
          <w:szCs w:val="24"/>
        </w:rPr>
        <w:t>Invitamos a l</w:t>
      </w:r>
      <w:r w:rsidR="003E26CD" w:rsidRPr="00920919">
        <w:rPr>
          <w:sz w:val="24"/>
          <w:szCs w:val="24"/>
        </w:rPr>
        <w:t>as personas, organizaciones, grupos y sectores interesados a</w:t>
      </w:r>
      <w:r w:rsidRPr="00920919">
        <w:rPr>
          <w:sz w:val="24"/>
          <w:szCs w:val="24"/>
        </w:rPr>
        <w:t xml:space="preserve"> participar en la audiencia pública y demás espacios de diálogo que </w:t>
      </w:r>
      <w:r w:rsidR="00B85A92">
        <w:rPr>
          <w:sz w:val="24"/>
          <w:szCs w:val="24"/>
        </w:rPr>
        <w:t>la Agencia para la Reincorporación y la Normalización -ARN</w:t>
      </w:r>
      <w:r w:rsidR="006736BB" w:rsidRPr="00920919">
        <w:rPr>
          <w:sz w:val="24"/>
          <w:szCs w:val="24"/>
        </w:rPr>
        <w:t xml:space="preserve"> </w:t>
      </w:r>
      <w:r w:rsidRPr="00920919">
        <w:rPr>
          <w:sz w:val="24"/>
          <w:szCs w:val="24"/>
        </w:rPr>
        <w:t>tiene programado para rendir cuentas sobre los avances de l</w:t>
      </w:r>
      <w:r w:rsidR="003C39B2" w:rsidRPr="00920919">
        <w:rPr>
          <w:sz w:val="24"/>
          <w:szCs w:val="24"/>
        </w:rPr>
        <w:t xml:space="preserve">a implementación del Acuerdo de Paz. </w:t>
      </w:r>
    </w:p>
    <w:p w14:paraId="098ECCB7" w14:textId="77777777" w:rsidR="00ED5251" w:rsidRPr="00920919" w:rsidRDefault="00ED5251" w:rsidP="005965DF">
      <w:pPr>
        <w:spacing w:after="0" w:line="240" w:lineRule="auto"/>
        <w:jc w:val="both"/>
        <w:rPr>
          <w:sz w:val="24"/>
          <w:szCs w:val="24"/>
        </w:rPr>
      </w:pPr>
    </w:p>
    <w:p w14:paraId="60D35789" w14:textId="5BA6889F" w:rsidR="0001117F" w:rsidRPr="00920919" w:rsidRDefault="0001117F" w:rsidP="00631DF4">
      <w:pPr>
        <w:pStyle w:val="Prrafodelista"/>
        <w:numPr>
          <w:ilvl w:val="0"/>
          <w:numId w:val="2"/>
        </w:numPr>
        <w:spacing w:after="0" w:line="240" w:lineRule="auto"/>
        <w:ind w:left="426"/>
        <w:jc w:val="both"/>
        <w:rPr>
          <w:sz w:val="36"/>
          <w:szCs w:val="36"/>
        </w:rPr>
      </w:pPr>
      <w:r w:rsidRPr="00920919">
        <w:rPr>
          <w:sz w:val="36"/>
          <w:szCs w:val="36"/>
        </w:rPr>
        <w:t>Denuncia de Irregularidades</w:t>
      </w:r>
    </w:p>
    <w:p w14:paraId="2A9229B1" w14:textId="1ED430E1" w:rsidR="0001117F" w:rsidRPr="00920919" w:rsidRDefault="0001117F" w:rsidP="005965DF">
      <w:pPr>
        <w:spacing w:after="0" w:line="240" w:lineRule="auto"/>
        <w:jc w:val="both"/>
        <w:rPr>
          <w:sz w:val="24"/>
          <w:szCs w:val="24"/>
        </w:rPr>
      </w:pPr>
    </w:p>
    <w:p w14:paraId="4D63D78B" w14:textId="1D4082E7" w:rsidR="0001117F" w:rsidRPr="00920919" w:rsidRDefault="0001117F" w:rsidP="005965DF">
      <w:pPr>
        <w:spacing w:after="0" w:line="240" w:lineRule="auto"/>
        <w:jc w:val="both"/>
        <w:rPr>
          <w:sz w:val="24"/>
          <w:szCs w:val="24"/>
        </w:rPr>
      </w:pPr>
      <w:r w:rsidRPr="00920919">
        <w:rPr>
          <w:sz w:val="24"/>
          <w:szCs w:val="24"/>
        </w:rPr>
        <w:t>Si conoce actuaciones irregulares en la planeación o ejecución de los proyectos PDET, puede denunciar en los siguientes canales:</w:t>
      </w:r>
    </w:p>
    <w:p w14:paraId="51B65E9C" w14:textId="5C5879E9" w:rsidR="0001117F" w:rsidRPr="00920919"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920919" w14:paraId="618C168A" w14:textId="77777777" w:rsidTr="00110DC8">
        <w:tc>
          <w:tcPr>
            <w:tcW w:w="8828" w:type="dxa"/>
          </w:tcPr>
          <w:p w14:paraId="24B0257A" w14:textId="77777777" w:rsidR="0001117F" w:rsidRPr="00920919" w:rsidRDefault="0001117F" w:rsidP="0001117F">
            <w:pPr>
              <w:jc w:val="both"/>
              <w:rPr>
                <w:color w:val="002060"/>
                <w:sz w:val="24"/>
                <w:szCs w:val="24"/>
              </w:rPr>
            </w:pPr>
          </w:p>
          <w:p w14:paraId="05502F51" w14:textId="661A9417" w:rsidR="0001117F" w:rsidRPr="00920919" w:rsidRDefault="0001117F" w:rsidP="0001117F">
            <w:pPr>
              <w:jc w:val="center"/>
              <w:rPr>
                <w:color w:val="002060"/>
                <w:sz w:val="24"/>
                <w:szCs w:val="24"/>
              </w:rPr>
            </w:pPr>
            <w:r w:rsidRPr="00920919">
              <w:rPr>
                <w:color w:val="002060"/>
                <w:sz w:val="24"/>
                <w:szCs w:val="24"/>
              </w:rPr>
              <w:lastRenderedPageBreak/>
              <w:t>Denuncias por manejos irregulares de los bienes de mi municipio</w:t>
            </w:r>
          </w:p>
          <w:p w14:paraId="7033E913" w14:textId="77777777" w:rsidR="0001117F" w:rsidRPr="00920919" w:rsidRDefault="0001117F" w:rsidP="0001117F">
            <w:pPr>
              <w:jc w:val="both"/>
              <w:rPr>
                <w:color w:val="002060"/>
                <w:sz w:val="24"/>
                <w:szCs w:val="24"/>
              </w:rPr>
            </w:pPr>
          </w:p>
          <w:p w14:paraId="14449251" w14:textId="16B9F35A" w:rsidR="0001117F" w:rsidRPr="00920919" w:rsidRDefault="0001117F" w:rsidP="0001117F">
            <w:pPr>
              <w:jc w:val="both"/>
              <w:rPr>
                <w:color w:val="002060"/>
                <w:sz w:val="20"/>
                <w:szCs w:val="20"/>
              </w:rPr>
            </w:pPr>
            <w:r w:rsidRPr="00920919">
              <w:rPr>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920919" w:rsidRDefault="0001117F" w:rsidP="0001117F">
            <w:pPr>
              <w:jc w:val="both"/>
              <w:rPr>
                <w:color w:val="002060"/>
                <w:sz w:val="20"/>
                <w:szCs w:val="20"/>
              </w:rPr>
            </w:pPr>
          </w:p>
          <w:p w14:paraId="0B993187" w14:textId="5E303776" w:rsidR="0001117F" w:rsidRPr="00920919" w:rsidRDefault="009D507C" w:rsidP="0001117F">
            <w:pPr>
              <w:jc w:val="both"/>
              <w:rPr>
                <w:color w:val="0070C0"/>
                <w:sz w:val="20"/>
                <w:szCs w:val="20"/>
              </w:rPr>
            </w:pPr>
            <w:hyperlink r:id="rId53" w:history="1">
              <w:r w:rsidR="0001117F" w:rsidRPr="00920919">
                <w:rPr>
                  <w:rStyle w:val="Hipervnculo"/>
                  <w:color w:val="0070C0"/>
                  <w:sz w:val="20"/>
                  <w:szCs w:val="20"/>
                </w:rPr>
                <w:t>http://www.contraloria.gov.co/web/guest/atencion-al-ciudadano/denuncias-y-otras-solicitudes-pqrd</w:t>
              </w:r>
            </w:hyperlink>
            <w:r w:rsidR="00110DC8" w:rsidRPr="00920919">
              <w:rPr>
                <w:color w:val="0070C0"/>
                <w:sz w:val="20"/>
                <w:szCs w:val="20"/>
              </w:rPr>
              <w:t xml:space="preserve">  </w:t>
            </w:r>
            <w:r w:rsidR="0001117F" w:rsidRPr="00920919">
              <w:rPr>
                <w:color w:val="0070C0"/>
                <w:sz w:val="20"/>
                <w:szCs w:val="20"/>
              </w:rPr>
              <w:t xml:space="preserve"> </w:t>
            </w:r>
          </w:p>
          <w:p w14:paraId="0F0DB2C1" w14:textId="77777777" w:rsidR="0001117F" w:rsidRPr="00920919" w:rsidRDefault="0001117F" w:rsidP="0001117F">
            <w:pPr>
              <w:jc w:val="both"/>
              <w:rPr>
                <w:color w:val="002060"/>
                <w:sz w:val="20"/>
                <w:szCs w:val="20"/>
              </w:rPr>
            </w:pPr>
          </w:p>
          <w:p w14:paraId="5491D786" w14:textId="77777777" w:rsidR="0001117F" w:rsidRPr="00920919" w:rsidRDefault="0001117F" w:rsidP="0001117F">
            <w:pPr>
              <w:jc w:val="both"/>
              <w:rPr>
                <w:color w:val="002060"/>
                <w:sz w:val="20"/>
                <w:szCs w:val="20"/>
              </w:rPr>
            </w:pPr>
            <w:r w:rsidRPr="00920919">
              <w:rPr>
                <w:color w:val="002060"/>
                <w:sz w:val="20"/>
                <w:szCs w:val="20"/>
              </w:rPr>
              <w:t xml:space="preserve">Para denunciar hechos o conductas por un posible manejo irregular de los bienes o fondos públicos ante este ente de Control Fiscal, debe contactarse al PBX 518 7000 Ext. 21014 – 21015 en Bogotá o escribir al correo </w:t>
            </w:r>
            <w:hyperlink r:id="rId54" w:history="1">
              <w:r w:rsidRPr="00920919">
                <w:rPr>
                  <w:rStyle w:val="Hipervnculo"/>
                  <w:color w:val="0070C0"/>
                  <w:sz w:val="20"/>
                  <w:szCs w:val="20"/>
                </w:rPr>
                <w:t>cgr@contraloria.gov.co</w:t>
              </w:r>
            </w:hyperlink>
            <w:r w:rsidRPr="00920919">
              <w:rPr>
                <w:color w:val="002060"/>
                <w:sz w:val="20"/>
                <w:szCs w:val="20"/>
              </w:rPr>
              <w:t xml:space="preserve"> </w:t>
            </w:r>
          </w:p>
          <w:p w14:paraId="20686F8C" w14:textId="5DA3160D" w:rsidR="0001117F" w:rsidRPr="00920919" w:rsidRDefault="0001117F" w:rsidP="0001117F">
            <w:pPr>
              <w:jc w:val="both"/>
              <w:rPr>
                <w:color w:val="002060"/>
                <w:sz w:val="24"/>
                <w:szCs w:val="24"/>
              </w:rPr>
            </w:pPr>
            <w:r w:rsidRPr="00920919">
              <w:rPr>
                <w:color w:val="002060"/>
                <w:sz w:val="24"/>
                <w:szCs w:val="24"/>
              </w:rPr>
              <w:t xml:space="preserve">  </w:t>
            </w:r>
          </w:p>
        </w:tc>
      </w:tr>
      <w:tr w:rsidR="00110DC8" w:rsidRPr="00920919" w14:paraId="5EBF2674" w14:textId="77777777" w:rsidTr="00110DC8">
        <w:tc>
          <w:tcPr>
            <w:tcW w:w="8828" w:type="dxa"/>
          </w:tcPr>
          <w:p w14:paraId="6891E8D6" w14:textId="77777777" w:rsidR="0001117F" w:rsidRPr="00920919" w:rsidRDefault="0001117F" w:rsidP="005965DF">
            <w:pPr>
              <w:jc w:val="both"/>
              <w:rPr>
                <w:color w:val="002060"/>
                <w:sz w:val="24"/>
                <w:szCs w:val="24"/>
              </w:rPr>
            </w:pPr>
          </w:p>
          <w:p w14:paraId="757FBE18" w14:textId="77777777" w:rsidR="0001117F" w:rsidRPr="00920919" w:rsidRDefault="0001117F" w:rsidP="0001117F">
            <w:pPr>
              <w:jc w:val="center"/>
              <w:rPr>
                <w:color w:val="002060"/>
                <w:sz w:val="24"/>
                <w:szCs w:val="24"/>
              </w:rPr>
            </w:pPr>
            <w:r w:rsidRPr="00920919">
              <w:rPr>
                <w:color w:val="002060"/>
                <w:sz w:val="24"/>
                <w:szCs w:val="24"/>
              </w:rPr>
              <w:t>Denuncias por actos irregulares de servidores públicos</w:t>
            </w:r>
          </w:p>
          <w:p w14:paraId="40AC8F30" w14:textId="77777777" w:rsidR="0001117F" w:rsidRPr="00920919" w:rsidRDefault="0001117F" w:rsidP="0001117F">
            <w:pPr>
              <w:jc w:val="both"/>
              <w:rPr>
                <w:color w:val="002060"/>
                <w:sz w:val="24"/>
                <w:szCs w:val="24"/>
              </w:rPr>
            </w:pPr>
          </w:p>
          <w:p w14:paraId="36FDF0A4" w14:textId="2FCAEFC4" w:rsidR="0001117F" w:rsidRPr="00920919" w:rsidRDefault="0001117F" w:rsidP="0001117F">
            <w:pPr>
              <w:jc w:val="both"/>
              <w:rPr>
                <w:color w:val="002060"/>
                <w:sz w:val="20"/>
                <w:szCs w:val="20"/>
              </w:rPr>
            </w:pPr>
            <w:r w:rsidRPr="00920919">
              <w:rPr>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920919" w:rsidRDefault="0001117F" w:rsidP="0001117F">
            <w:pPr>
              <w:jc w:val="both"/>
              <w:rPr>
                <w:color w:val="002060"/>
                <w:sz w:val="20"/>
                <w:szCs w:val="20"/>
              </w:rPr>
            </w:pPr>
          </w:p>
          <w:p w14:paraId="7FF737DE" w14:textId="77777777" w:rsidR="0001117F" w:rsidRPr="00920919" w:rsidRDefault="0001117F" w:rsidP="0001117F">
            <w:pPr>
              <w:jc w:val="both"/>
              <w:rPr>
                <w:color w:val="002060"/>
                <w:sz w:val="20"/>
                <w:szCs w:val="20"/>
              </w:rPr>
            </w:pPr>
            <w:r w:rsidRPr="00920919">
              <w:rPr>
                <w:color w:val="002060"/>
                <w:sz w:val="20"/>
                <w:szCs w:val="20"/>
              </w:rPr>
              <w:t xml:space="preserve">Si conoce de algún acto irregular de un servidor público, denúncielo en el siguiente enlace: </w:t>
            </w:r>
          </w:p>
          <w:p w14:paraId="5FD4B3D7" w14:textId="77777777" w:rsidR="0001117F" w:rsidRPr="00920919" w:rsidRDefault="0001117F" w:rsidP="0001117F">
            <w:pPr>
              <w:jc w:val="both"/>
              <w:rPr>
                <w:color w:val="002060"/>
                <w:sz w:val="20"/>
                <w:szCs w:val="20"/>
              </w:rPr>
            </w:pPr>
          </w:p>
          <w:p w14:paraId="3D099BD3" w14:textId="77777777" w:rsidR="0001117F" w:rsidRPr="00920919" w:rsidRDefault="009D507C" w:rsidP="0001117F">
            <w:pPr>
              <w:jc w:val="both"/>
              <w:rPr>
                <w:color w:val="0070C0"/>
                <w:sz w:val="20"/>
                <w:szCs w:val="20"/>
              </w:rPr>
            </w:pPr>
            <w:hyperlink r:id="rId55" w:history="1">
              <w:r w:rsidR="0001117F" w:rsidRPr="00920919">
                <w:rPr>
                  <w:rStyle w:val="Hipervnculo"/>
                  <w:color w:val="0070C0"/>
                  <w:sz w:val="20"/>
                  <w:szCs w:val="20"/>
                </w:rPr>
                <w:t>https://www.procuraduria.gov.co/portal/index.jsp?option=co.gov.pgn.portal.frontend.component.pagefactory.DenunciaImplAcuerdoPazComponentPageFactory</w:t>
              </w:r>
            </w:hyperlink>
            <w:r w:rsidR="0001117F" w:rsidRPr="00920919">
              <w:rPr>
                <w:color w:val="0070C0"/>
                <w:sz w:val="20"/>
                <w:szCs w:val="20"/>
              </w:rPr>
              <w:t xml:space="preserve"> </w:t>
            </w:r>
          </w:p>
          <w:p w14:paraId="47059301" w14:textId="2922F479" w:rsidR="0001117F" w:rsidRPr="00920919" w:rsidRDefault="0001117F" w:rsidP="0001117F">
            <w:pPr>
              <w:jc w:val="both"/>
              <w:rPr>
                <w:color w:val="002060"/>
                <w:sz w:val="20"/>
                <w:szCs w:val="20"/>
              </w:rPr>
            </w:pPr>
            <w:r w:rsidRPr="00920919">
              <w:rPr>
                <w:color w:val="002060"/>
                <w:sz w:val="20"/>
                <w:szCs w:val="20"/>
              </w:rPr>
              <w:t xml:space="preserve"> </w:t>
            </w:r>
          </w:p>
          <w:p w14:paraId="13134B70" w14:textId="4C6BB64D" w:rsidR="0001117F" w:rsidRPr="00920919" w:rsidRDefault="0001117F" w:rsidP="0001117F">
            <w:pPr>
              <w:jc w:val="both"/>
              <w:rPr>
                <w:color w:val="002060"/>
                <w:sz w:val="20"/>
                <w:szCs w:val="20"/>
              </w:rPr>
            </w:pPr>
            <w:r w:rsidRPr="00920919">
              <w:rPr>
                <w:color w:val="002060"/>
                <w:sz w:val="20"/>
                <w:szCs w:val="20"/>
              </w:rPr>
              <w:t xml:space="preserve">También puede escribir al siguiente correo electrónico: </w:t>
            </w:r>
            <w:hyperlink r:id="rId56" w:history="1">
              <w:r w:rsidRPr="00920919">
                <w:rPr>
                  <w:rStyle w:val="Hipervnculo"/>
                  <w:color w:val="0070C0"/>
                  <w:sz w:val="20"/>
                  <w:szCs w:val="20"/>
                </w:rPr>
                <w:t>quejas@procuraduria.gov.co</w:t>
              </w:r>
            </w:hyperlink>
            <w:r w:rsidRPr="00920919">
              <w:rPr>
                <w:color w:val="002060"/>
                <w:sz w:val="20"/>
                <w:szCs w:val="20"/>
              </w:rPr>
              <w:t xml:space="preserve"> o llamar a la línea gratuita nacional: 01 8000 940 808</w:t>
            </w:r>
          </w:p>
          <w:p w14:paraId="56498D50" w14:textId="409E46EA" w:rsidR="0001117F" w:rsidRPr="00920919" w:rsidRDefault="0001117F" w:rsidP="005965DF">
            <w:pPr>
              <w:jc w:val="both"/>
              <w:rPr>
                <w:color w:val="002060"/>
                <w:sz w:val="24"/>
                <w:szCs w:val="24"/>
              </w:rPr>
            </w:pPr>
          </w:p>
        </w:tc>
      </w:tr>
      <w:tr w:rsidR="00110DC8" w:rsidRPr="00920919" w14:paraId="51B91555" w14:textId="77777777" w:rsidTr="00110DC8">
        <w:tc>
          <w:tcPr>
            <w:tcW w:w="8828" w:type="dxa"/>
          </w:tcPr>
          <w:p w14:paraId="32738B81" w14:textId="77777777" w:rsidR="0001117F" w:rsidRPr="00920919" w:rsidRDefault="0001117F" w:rsidP="005965DF">
            <w:pPr>
              <w:jc w:val="both"/>
              <w:rPr>
                <w:color w:val="002060"/>
                <w:sz w:val="24"/>
                <w:szCs w:val="24"/>
              </w:rPr>
            </w:pPr>
          </w:p>
          <w:p w14:paraId="73EE9698" w14:textId="77777777" w:rsidR="0001117F" w:rsidRPr="00920919" w:rsidRDefault="0001117F" w:rsidP="00110DC8">
            <w:pPr>
              <w:jc w:val="center"/>
              <w:rPr>
                <w:color w:val="002060"/>
                <w:sz w:val="24"/>
                <w:szCs w:val="24"/>
              </w:rPr>
            </w:pPr>
            <w:r w:rsidRPr="00920919">
              <w:rPr>
                <w:color w:val="002060"/>
                <w:sz w:val="24"/>
                <w:szCs w:val="24"/>
              </w:rPr>
              <w:t>Denuncias por actos de corrupción</w:t>
            </w:r>
          </w:p>
          <w:p w14:paraId="38CBF748" w14:textId="77777777" w:rsidR="00110DC8" w:rsidRPr="00920919" w:rsidRDefault="00110DC8" w:rsidP="0001117F">
            <w:pPr>
              <w:jc w:val="both"/>
              <w:rPr>
                <w:color w:val="002060"/>
                <w:sz w:val="24"/>
                <w:szCs w:val="24"/>
              </w:rPr>
            </w:pPr>
          </w:p>
          <w:p w14:paraId="231427C0" w14:textId="6959E5A6" w:rsidR="0001117F" w:rsidRPr="00920919" w:rsidRDefault="0001117F" w:rsidP="0001117F">
            <w:pPr>
              <w:jc w:val="both"/>
              <w:rPr>
                <w:color w:val="002060"/>
                <w:sz w:val="20"/>
                <w:szCs w:val="20"/>
              </w:rPr>
            </w:pPr>
            <w:r w:rsidRPr="00920919">
              <w:rPr>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920919" w:rsidRDefault="0001117F" w:rsidP="0001117F">
            <w:pPr>
              <w:jc w:val="both"/>
              <w:rPr>
                <w:color w:val="002060"/>
                <w:sz w:val="20"/>
                <w:szCs w:val="20"/>
              </w:rPr>
            </w:pPr>
          </w:p>
          <w:p w14:paraId="2AAADDD7" w14:textId="77777777" w:rsidR="0001117F" w:rsidRPr="00920919" w:rsidRDefault="0001117F" w:rsidP="0001117F">
            <w:pPr>
              <w:jc w:val="both"/>
              <w:rPr>
                <w:color w:val="002060"/>
                <w:sz w:val="20"/>
                <w:szCs w:val="20"/>
              </w:rPr>
            </w:pPr>
            <w:r w:rsidRPr="00920919">
              <w:rPr>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920919" w:rsidRDefault="0001117F" w:rsidP="0001117F">
            <w:pPr>
              <w:jc w:val="both"/>
              <w:rPr>
                <w:color w:val="002060"/>
                <w:sz w:val="20"/>
                <w:szCs w:val="20"/>
              </w:rPr>
            </w:pPr>
          </w:p>
          <w:p w14:paraId="6CB48036" w14:textId="77777777" w:rsidR="00110DC8" w:rsidRPr="00920919" w:rsidRDefault="0001117F" w:rsidP="0001117F">
            <w:pPr>
              <w:jc w:val="both"/>
              <w:rPr>
                <w:color w:val="002060"/>
                <w:sz w:val="20"/>
                <w:szCs w:val="20"/>
              </w:rPr>
            </w:pPr>
            <w:r w:rsidRPr="00920919">
              <w:rPr>
                <w:color w:val="002060"/>
                <w:sz w:val="20"/>
                <w:szCs w:val="20"/>
              </w:rPr>
              <w:t xml:space="preserve">También puede hacerlo a través de la denuncia virtual en la página web de la Fiscalía General de la Nación: </w:t>
            </w:r>
          </w:p>
          <w:p w14:paraId="2B5374D5" w14:textId="77777777" w:rsidR="00110DC8" w:rsidRPr="00920919" w:rsidRDefault="00110DC8" w:rsidP="0001117F">
            <w:pPr>
              <w:jc w:val="both"/>
              <w:rPr>
                <w:color w:val="002060"/>
                <w:sz w:val="20"/>
                <w:szCs w:val="20"/>
              </w:rPr>
            </w:pPr>
          </w:p>
          <w:p w14:paraId="66331BA9" w14:textId="64961BFC" w:rsidR="0001117F" w:rsidRPr="00920919" w:rsidRDefault="009D507C" w:rsidP="003A5098">
            <w:pPr>
              <w:jc w:val="both"/>
              <w:rPr>
                <w:color w:val="002060"/>
                <w:sz w:val="20"/>
                <w:szCs w:val="20"/>
              </w:rPr>
            </w:pPr>
            <w:hyperlink r:id="rId57" w:history="1">
              <w:r w:rsidR="00110DC8" w:rsidRPr="00920919">
                <w:rPr>
                  <w:rStyle w:val="Hipervnculo"/>
                  <w:color w:val="0070C0"/>
                  <w:sz w:val="20"/>
                  <w:szCs w:val="20"/>
                </w:rPr>
                <w:t>https://www.fiscalia.gov.co/colombia/servicios-de-informacion-al-ciudadano/donde-y-como-denunciar/</w:t>
              </w:r>
            </w:hyperlink>
            <w:r w:rsidR="00110DC8" w:rsidRPr="00920919">
              <w:rPr>
                <w:color w:val="0070C0"/>
                <w:sz w:val="20"/>
                <w:szCs w:val="20"/>
              </w:rPr>
              <w:t xml:space="preserve"> </w:t>
            </w:r>
            <w:r w:rsidR="0001117F" w:rsidRPr="00920919">
              <w:rPr>
                <w:color w:val="0070C0"/>
                <w:sz w:val="20"/>
                <w:szCs w:val="20"/>
              </w:rPr>
              <w:t xml:space="preserve">  </w:t>
            </w:r>
            <w:r w:rsidR="0001117F" w:rsidRPr="00920919">
              <w:rPr>
                <w:color w:val="002060"/>
                <w:sz w:val="20"/>
                <w:szCs w:val="20"/>
              </w:rPr>
              <w:t>y de la Policía Nacional:</w:t>
            </w:r>
            <w:r w:rsidR="0001117F" w:rsidRPr="00920919">
              <w:rPr>
                <w:color w:val="0070C0"/>
                <w:sz w:val="20"/>
                <w:szCs w:val="20"/>
              </w:rPr>
              <w:t xml:space="preserve"> </w:t>
            </w:r>
            <w:hyperlink r:id="rId58" w:history="1">
              <w:r w:rsidR="00110DC8" w:rsidRPr="00920919">
                <w:rPr>
                  <w:rStyle w:val="Hipervnculo"/>
                  <w:color w:val="0070C0"/>
                  <w:sz w:val="20"/>
                  <w:szCs w:val="20"/>
                </w:rPr>
                <w:t>https://www.policia.gov.co/</w:t>
              </w:r>
            </w:hyperlink>
          </w:p>
        </w:tc>
      </w:tr>
    </w:tbl>
    <w:p w14:paraId="46C39774" w14:textId="18FAE4FA" w:rsidR="009E05E5" w:rsidRPr="00920919" w:rsidRDefault="009E05E5" w:rsidP="003A5098">
      <w:pPr>
        <w:spacing w:after="0" w:line="240" w:lineRule="auto"/>
        <w:jc w:val="both"/>
        <w:rPr>
          <w:sz w:val="24"/>
          <w:szCs w:val="24"/>
        </w:rPr>
      </w:pPr>
    </w:p>
    <w:sectPr w:rsidR="009E05E5" w:rsidRPr="00920919" w:rsidSect="003F43B3">
      <w:headerReference w:type="default" r:id="rId59"/>
      <w:footerReference w:type="default" r:id="rId60"/>
      <w:pgSz w:w="12240" w:h="15840"/>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89C8" w16cex:dateUtc="2022-03-25T23:34:00Z"/>
  <w16cex:commentExtensible w16cex:durableId="25E88570" w16cex:dateUtc="2022-03-25T23:16:00Z"/>
  <w16cex:commentExtensible w16cex:durableId="25EBF5A3" w16cex:dateUtc="2022-03-28T13:51:00Z"/>
  <w16cex:commentExtensible w16cex:durableId="25EBF5A9" w16cex:dateUtc="2022-03-28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0908" w14:textId="77777777" w:rsidR="00187872" w:rsidRDefault="00187872" w:rsidP="003F43B3">
      <w:pPr>
        <w:spacing w:after="0" w:line="240" w:lineRule="auto"/>
      </w:pPr>
      <w:r>
        <w:separator/>
      </w:r>
    </w:p>
  </w:endnote>
  <w:endnote w:type="continuationSeparator" w:id="0">
    <w:p w14:paraId="466DFC10" w14:textId="77777777" w:rsidR="00187872" w:rsidRDefault="00187872"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237294"/>
      <w:docPartObj>
        <w:docPartGallery w:val="Page Numbers (Bottom of Page)"/>
        <w:docPartUnique/>
      </w:docPartObj>
    </w:sdtPr>
    <w:sdtContent>
      <w:p w14:paraId="5F52E8DF" w14:textId="0EB33148" w:rsidR="009D507C" w:rsidRDefault="009D507C">
        <w:pPr>
          <w:pStyle w:val="Piedepgina"/>
          <w:jc w:val="right"/>
        </w:pPr>
        <w:r>
          <w:fldChar w:fldCharType="begin"/>
        </w:r>
        <w:r>
          <w:instrText>PAGE   \* MERGEFORMAT</w:instrText>
        </w:r>
        <w:r>
          <w:fldChar w:fldCharType="separate"/>
        </w:r>
        <w:r w:rsidRPr="00816A0B">
          <w:rPr>
            <w:noProof/>
            <w:lang w:val="es-ES"/>
          </w:rPr>
          <w:t>2</w:t>
        </w:r>
        <w:r>
          <w:fldChar w:fldCharType="end"/>
        </w:r>
      </w:p>
    </w:sdtContent>
  </w:sdt>
  <w:p w14:paraId="768BB7E4" w14:textId="77777777" w:rsidR="009D507C" w:rsidRDefault="009D5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3C152" w14:textId="77777777" w:rsidR="00187872" w:rsidRDefault="00187872" w:rsidP="003F43B3">
      <w:pPr>
        <w:spacing w:after="0" w:line="240" w:lineRule="auto"/>
      </w:pPr>
      <w:r>
        <w:separator/>
      </w:r>
    </w:p>
  </w:footnote>
  <w:footnote w:type="continuationSeparator" w:id="0">
    <w:p w14:paraId="39A20258" w14:textId="77777777" w:rsidR="00187872" w:rsidRDefault="00187872" w:rsidP="003F43B3">
      <w:pPr>
        <w:spacing w:after="0" w:line="240" w:lineRule="auto"/>
      </w:pPr>
      <w:r>
        <w:continuationSeparator/>
      </w:r>
    </w:p>
  </w:footnote>
  <w:footnote w:id="1">
    <w:p w14:paraId="7168D9AC" w14:textId="77777777" w:rsidR="009D507C" w:rsidRPr="00DD1CE4" w:rsidRDefault="009D507C" w:rsidP="0029180F">
      <w:pPr>
        <w:pStyle w:val="Textonotapie"/>
        <w:rPr>
          <w:rFonts w:asciiTheme="minorHAnsi" w:hAnsiTheme="minorHAnsi" w:cstheme="minorHAnsi"/>
          <w:sz w:val="16"/>
          <w:szCs w:val="16"/>
          <w:lang w:val="es-MX"/>
        </w:rPr>
      </w:pPr>
      <w:r w:rsidRPr="00DD1CE4">
        <w:rPr>
          <w:rStyle w:val="Refdenotaalpie"/>
          <w:rFonts w:asciiTheme="minorHAnsi" w:hAnsiTheme="minorHAnsi" w:cstheme="minorHAnsi"/>
          <w:sz w:val="16"/>
          <w:szCs w:val="16"/>
        </w:rPr>
        <w:footnoteRef/>
      </w:r>
      <w:r w:rsidRPr="00DD1CE4">
        <w:rPr>
          <w:rFonts w:asciiTheme="minorHAnsi" w:hAnsiTheme="minorHAnsi" w:cstheme="minorHAnsi"/>
          <w:sz w:val="16"/>
          <w:szCs w:val="16"/>
        </w:rPr>
        <w:t xml:space="preserve"> PTAP: Plantas de tratamiento de agua potable</w:t>
      </w:r>
    </w:p>
  </w:footnote>
  <w:footnote w:id="2">
    <w:p w14:paraId="5E738296" w14:textId="77777777" w:rsidR="009D507C" w:rsidRPr="00DD1CE4" w:rsidRDefault="009D507C" w:rsidP="0029180F">
      <w:pPr>
        <w:pStyle w:val="Textonotapie"/>
        <w:rPr>
          <w:lang w:val="es-MX"/>
        </w:rPr>
      </w:pPr>
      <w:r w:rsidRPr="00DD1CE4">
        <w:rPr>
          <w:rStyle w:val="Refdenotaalpie"/>
          <w:rFonts w:asciiTheme="minorHAnsi" w:hAnsiTheme="minorHAnsi" w:cstheme="minorHAnsi"/>
          <w:sz w:val="16"/>
          <w:szCs w:val="16"/>
        </w:rPr>
        <w:footnoteRef/>
      </w:r>
      <w:r w:rsidRPr="00DD1CE4">
        <w:rPr>
          <w:rFonts w:asciiTheme="minorHAnsi" w:hAnsiTheme="minorHAnsi" w:cstheme="minorHAnsi"/>
          <w:sz w:val="16"/>
          <w:szCs w:val="16"/>
        </w:rPr>
        <w:t xml:space="preserve"> </w:t>
      </w:r>
      <w:r w:rsidRPr="00DD1CE4">
        <w:rPr>
          <w:rFonts w:asciiTheme="minorHAnsi" w:hAnsiTheme="minorHAnsi" w:cstheme="minorHAnsi"/>
          <w:sz w:val="16"/>
          <w:szCs w:val="16"/>
          <w:lang w:val="es-MX"/>
        </w:rPr>
        <w:t xml:space="preserve">PTAR: </w:t>
      </w:r>
      <w:r w:rsidRPr="00DD1CE4">
        <w:rPr>
          <w:rFonts w:asciiTheme="minorHAnsi" w:hAnsiTheme="minorHAnsi" w:cstheme="minorHAnsi"/>
          <w:color w:val="202124"/>
          <w:sz w:val="16"/>
          <w:szCs w:val="16"/>
          <w:shd w:val="clear" w:color="auto" w:fill="FFFFFF"/>
        </w:rPr>
        <w:t>Planta de Tratamiento de Aguas Residuales</w:t>
      </w:r>
    </w:p>
  </w:footnote>
  <w:footnote w:id="3">
    <w:p w14:paraId="10658BF0" w14:textId="77777777" w:rsidR="009D507C" w:rsidRPr="00924597" w:rsidRDefault="009D507C" w:rsidP="0029180F">
      <w:pPr>
        <w:pStyle w:val="Textonotapie"/>
        <w:rPr>
          <w:sz w:val="16"/>
          <w:szCs w:val="16"/>
          <w:lang w:val="es-MX"/>
        </w:rPr>
      </w:pPr>
      <w:r w:rsidRPr="00924597">
        <w:rPr>
          <w:rStyle w:val="Refdenotaalpie"/>
          <w:sz w:val="16"/>
          <w:szCs w:val="16"/>
        </w:rPr>
        <w:footnoteRef/>
      </w:r>
      <w:r w:rsidRPr="00924597">
        <w:rPr>
          <w:sz w:val="16"/>
          <w:szCs w:val="16"/>
        </w:rPr>
        <w:t xml:space="preserve"> </w:t>
      </w:r>
      <w:r w:rsidRPr="00924597">
        <w:rPr>
          <w:sz w:val="16"/>
          <w:szCs w:val="16"/>
          <w:lang w:val="es-MX"/>
        </w:rPr>
        <w:t>PNUD:</w:t>
      </w:r>
      <w:r w:rsidRPr="00924597">
        <w:rPr>
          <w:rFonts w:asciiTheme="minorHAnsi" w:hAnsiTheme="minorHAnsi" w:cstheme="minorHAnsi"/>
          <w:bCs/>
          <w:sz w:val="16"/>
          <w:szCs w:val="16"/>
          <w:lang w:val="es-MX"/>
        </w:rPr>
        <w:t xml:space="preserve"> Programa de Naciones Unidas para el Desarrollo</w:t>
      </w:r>
    </w:p>
  </w:footnote>
  <w:footnote w:id="4">
    <w:p w14:paraId="0F5BE662" w14:textId="77777777" w:rsidR="009D507C" w:rsidRPr="00BC1FD8" w:rsidRDefault="009D507C" w:rsidP="00E447B3">
      <w:pPr>
        <w:pStyle w:val="Textonotapie"/>
        <w:rPr>
          <w:sz w:val="16"/>
          <w:szCs w:val="16"/>
          <w:lang w:val="es-419"/>
        </w:rPr>
      </w:pPr>
      <w:r w:rsidRPr="00BC1FD8">
        <w:rPr>
          <w:rStyle w:val="Refdenotaalpie"/>
          <w:sz w:val="16"/>
          <w:szCs w:val="16"/>
        </w:rPr>
        <w:footnoteRef/>
      </w:r>
      <w:r w:rsidRPr="00BC1FD8">
        <w:rPr>
          <w:sz w:val="16"/>
          <w:szCs w:val="16"/>
        </w:rPr>
        <w:t xml:space="preserve"> </w:t>
      </w:r>
      <w:r w:rsidRPr="00BC1FD8">
        <w:rPr>
          <w:sz w:val="16"/>
          <w:szCs w:val="16"/>
          <w:lang w:val="es-419"/>
        </w:rPr>
        <w:t>OACP: Oficina del Alto Comisionado para la Paz</w:t>
      </w:r>
    </w:p>
  </w:footnote>
  <w:footnote w:id="5">
    <w:p w14:paraId="058E2816" w14:textId="77777777" w:rsidR="009D507C" w:rsidRPr="00F21008" w:rsidRDefault="009D507C" w:rsidP="002857BB">
      <w:pPr>
        <w:pStyle w:val="Textonotapie"/>
        <w:rPr>
          <w:lang w:val="es-419"/>
        </w:rPr>
      </w:pPr>
      <w:r w:rsidRPr="00F21008">
        <w:rPr>
          <w:rStyle w:val="Refdenotaalpie"/>
          <w:sz w:val="16"/>
        </w:rPr>
        <w:footnoteRef/>
      </w:r>
      <w:r w:rsidRPr="00F21008">
        <w:rPr>
          <w:sz w:val="16"/>
        </w:rPr>
        <w:t xml:space="preserve"> </w:t>
      </w:r>
      <w:r w:rsidRPr="00F21008">
        <w:rPr>
          <w:sz w:val="16"/>
          <w:lang w:val="es-419"/>
        </w:rPr>
        <w:t>BEPS: Beneficios Económicos Periódicos</w:t>
      </w:r>
    </w:p>
  </w:footnote>
  <w:footnote w:id="6">
    <w:p w14:paraId="72C9D577" w14:textId="77777777" w:rsidR="009D507C" w:rsidRPr="00DB53C6" w:rsidRDefault="009D507C" w:rsidP="00524D95">
      <w:pPr>
        <w:pStyle w:val="Textonotapie"/>
        <w:rPr>
          <w:lang w:val="es-MX"/>
        </w:rPr>
      </w:pPr>
      <w:r w:rsidRPr="00D26844">
        <w:rPr>
          <w:rStyle w:val="Refdenotaalpie"/>
          <w:sz w:val="16"/>
        </w:rPr>
        <w:footnoteRef/>
      </w:r>
      <w:r w:rsidRPr="00D26844">
        <w:rPr>
          <w:sz w:val="16"/>
        </w:rPr>
        <w:t xml:space="preserve"> </w:t>
      </w:r>
      <w:r w:rsidRPr="00D26844">
        <w:rPr>
          <w:sz w:val="16"/>
          <w:lang w:val="es-MX"/>
        </w:rPr>
        <w:t xml:space="preserve">Si bien las personas respondieron que pertenecen a un grupo étnico, no respondieron al Registro Nacional de Reincorporación a cuál grupo. </w:t>
      </w:r>
    </w:p>
  </w:footnote>
  <w:footnote w:id="7">
    <w:p w14:paraId="14E13A10" w14:textId="77777777" w:rsidR="009D507C" w:rsidRPr="00580F59" w:rsidRDefault="009D507C" w:rsidP="0097162F">
      <w:pPr>
        <w:pStyle w:val="Textonotapie"/>
        <w:rPr>
          <w:rFonts w:asciiTheme="minorHAnsi" w:hAnsiTheme="minorHAnsi"/>
          <w:sz w:val="16"/>
          <w:szCs w:val="16"/>
          <w:lang w:val="es-MX"/>
        </w:rPr>
      </w:pPr>
      <w:r w:rsidRPr="00580F59">
        <w:rPr>
          <w:rStyle w:val="Refdenotaalpie"/>
          <w:rFonts w:asciiTheme="minorHAnsi" w:hAnsiTheme="minorHAnsi"/>
          <w:sz w:val="16"/>
          <w:szCs w:val="16"/>
        </w:rPr>
        <w:footnoteRef/>
      </w:r>
      <w:r w:rsidRPr="00580F59">
        <w:rPr>
          <w:rFonts w:asciiTheme="minorHAnsi" w:hAnsiTheme="minorHAnsi"/>
          <w:sz w:val="16"/>
          <w:szCs w:val="16"/>
        </w:rPr>
        <w:t xml:space="preserve"> </w:t>
      </w:r>
      <w:r w:rsidRPr="00580F59">
        <w:rPr>
          <w:rFonts w:asciiTheme="minorHAnsi" w:hAnsiTheme="minorHAnsi"/>
          <w:sz w:val="16"/>
          <w:szCs w:val="16"/>
          <w:lang w:val="es-MX"/>
        </w:rPr>
        <w:t xml:space="preserve">SGSSS: </w:t>
      </w:r>
      <w:r w:rsidRPr="00580F59">
        <w:rPr>
          <w:rFonts w:asciiTheme="minorHAnsi" w:hAnsiTheme="minorHAnsi" w:cs="Arial"/>
          <w:color w:val="202124"/>
          <w:sz w:val="16"/>
          <w:szCs w:val="16"/>
          <w:shd w:val="clear" w:color="auto" w:fill="FFFFFF"/>
        </w:rPr>
        <w:t>Sistema General de Seguridad Social en Salud</w:t>
      </w:r>
    </w:p>
  </w:footnote>
  <w:footnote w:id="8">
    <w:p w14:paraId="406DE6E1" w14:textId="3E5FE927" w:rsidR="009D507C" w:rsidRPr="007C0B43" w:rsidRDefault="009D507C" w:rsidP="007C0B43">
      <w:pPr>
        <w:pStyle w:val="Textonotapie"/>
        <w:rPr>
          <w:sz w:val="16"/>
          <w:szCs w:val="16"/>
          <w:lang w:val="es-MX"/>
        </w:rPr>
      </w:pPr>
      <w:r w:rsidRPr="007C0B43">
        <w:rPr>
          <w:rStyle w:val="Refdenotaalpie"/>
          <w:sz w:val="16"/>
          <w:szCs w:val="16"/>
        </w:rPr>
        <w:footnoteRef/>
      </w:r>
      <w:r w:rsidRPr="007C0B43">
        <w:rPr>
          <w:sz w:val="16"/>
          <w:szCs w:val="16"/>
        </w:rPr>
        <w:t xml:space="preserve"> Las adquisiciones de los bienes y servicios necesarios para atender las necesidades relacionadas con servicios públicos, mantenimiento y saneamiento básico en los antiguos ETCR, son realizadas en el marco del convenio de participación de terceros 1067 del 25 de enero de 2018 suscrito con el Programa de las Naciones Unidas para el Desarrollo (PNUD), razón por la cual no se adelantan procesos contractuales que estén sujetos a las normas de la contratación pública, motivo por el cual no se encuentran registradas con Colombia Compra Eficiente.</w:t>
      </w:r>
    </w:p>
  </w:footnote>
  <w:footnote w:id="9">
    <w:p w14:paraId="2CD3DAF7" w14:textId="6F3B083F" w:rsidR="009D507C" w:rsidRPr="007C0B43" w:rsidRDefault="009D507C" w:rsidP="007C0B43">
      <w:pPr>
        <w:spacing w:after="0" w:line="240" w:lineRule="auto"/>
        <w:rPr>
          <w:sz w:val="16"/>
          <w:szCs w:val="16"/>
          <w:lang w:val="es-MX"/>
        </w:rPr>
      </w:pPr>
      <w:r w:rsidRPr="007C0B43">
        <w:rPr>
          <w:rStyle w:val="Refdenotaalpie"/>
          <w:sz w:val="16"/>
          <w:szCs w:val="16"/>
        </w:rPr>
        <w:footnoteRef/>
      </w:r>
      <w:r w:rsidRPr="007C0B43">
        <w:rPr>
          <w:sz w:val="16"/>
          <w:szCs w:val="16"/>
        </w:rPr>
        <w:t xml:space="preserve"> Los procesos contractuales para el suministro de víveres se realizan a través de Fondo Colombia en Paz, atendiendo los lineamientos establecidos en su Manual de Contratación.</w:t>
      </w:r>
    </w:p>
  </w:footnote>
  <w:footnote w:id="10">
    <w:p w14:paraId="60E68497" w14:textId="1DF472AE" w:rsidR="009D507C" w:rsidRPr="007C0B43" w:rsidRDefault="009D507C" w:rsidP="007C0B43">
      <w:pPr>
        <w:pStyle w:val="Textonotapie"/>
        <w:rPr>
          <w:lang w:val="es-MX"/>
        </w:rPr>
      </w:pPr>
      <w:r w:rsidRPr="007C0B43">
        <w:rPr>
          <w:rStyle w:val="Refdenotaalpie"/>
          <w:sz w:val="16"/>
          <w:szCs w:val="16"/>
        </w:rPr>
        <w:footnoteRef/>
      </w:r>
      <w:r w:rsidRPr="007C0B43">
        <w:rPr>
          <w:sz w:val="16"/>
          <w:szCs w:val="16"/>
        </w:rPr>
        <w:t xml:space="preserve"> </w:t>
      </w:r>
      <w:r w:rsidRPr="007C0B43">
        <w:rPr>
          <w:sz w:val="16"/>
          <w:szCs w:val="16"/>
          <w:lang w:val="es-MX"/>
        </w:rPr>
        <w:t xml:space="preserve">Idem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9D507C" w14:paraId="73F50876" w14:textId="77777777" w:rsidTr="004069E7">
      <w:tc>
        <w:tcPr>
          <w:tcW w:w="5807" w:type="dxa"/>
          <w:vAlign w:val="center"/>
        </w:tcPr>
        <w:p w14:paraId="781D55C0" w14:textId="7AB9D76F" w:rsidR="009D507C" w:rsidRDefault="009D507C" w:rsidP="004069E7">
          <w:pPr>
            <w:pStyle w:val="Encabezado"/>
          </w:pPr>
          <w:r>
            <w:t>Informe de Rendición de Cuentas de Paz - 2021</w:t>
          </w:r>
        </w:p>
        <w:p w14:paraId="671F7C27" w14:textId="642417DE" w:rsidR="009D507C" w:rsidRDefault="009D507C" w:rsidP="004069E7">
          <w:pPr>
            <w:pStyle w:val="Encabezado"/>
          </w:pPr>
          <w:r>
            <w:t>Plan Marco de Implementación - PMI</w:t>
          </w:r>
        </w:p>
      </w:tc>
      <w:tc>
        <w:tcPr>
          <w:tcW w:w="3021" w:type="dxa"/>
          <w:vAlign w:val="center"/>
        </w:tcPr>
        <w:p w14:paraId="3DEACE31" w14:textId="5C554533" w:rsidR="009D507C" w:rsidRDefault="009D507C" w:rsidP="004069E7">
          <w:pPr>
            <w:pStyle w:val="Encabezado"/>
            <w:jc w:val="center"/>
          </w:pPr>
          <w:r w:rsidRPr="004069E7">
            <w:rPr>
              <w:noProof/>
              <w:lang w:eastAsia="es-CO"/>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9D507C" w:rsidRDefault="009D507C"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15AD"/>
    <w:multiLevelType w:val="hybridMultilevel"/>
    <w:tmpl w:val="FCD8B47E"/>
    <w:lvl w:ilvl="0" w:tplc="240A0001">
      <w:start w:val="1"/>
      <w:numFmt w:val="bullet"/>
      <w:lvlText w:val=""/>
      <w:lvlJc w:val="left"/>
      <w:pPr>
        <w:tabs>
          <w:tab w:val="num" w:pos="720"/>
        </w:tabs>
        <w:ind w:left="720" w:hanging="360"/>
      </w:pPr>
      <w:rPr>
        <w:rFonts w:ascii="Symbol" w:hAnsi="Symbol" w:hint="default"/>
      </w:rPr>
    </w:lvl>
    <w:lvl w:ilvl="1" w:tplc="3C1C8328" w:tentative="1">
      <w:start w:val="1"/>
      <w:numFmt w:val="bullet"/>
      <w:lvlText w:val=""/>
      <w:lvlJc w:val="left"/>
      <w:pPr>
        <w:tabs>
          <w:tab w:val="num" w:pos="1440"/>
        </w:tabs>
        <w:ind w:left="1440" w:hanging="360"/>
      </w:pPr>
      <w:rPr>
        <w:rFonts w:ascii="Wingdings" w:hAnsi="Wingdings" w:hint="default"/>
      </w:rPr>
    </w:lvl>
    <w:lvl w:ilvl="2" w:tplc="008414F4" w:tentative="1">
      <w:start w:val="1"/>
      <w:numFmt w:val="bullet"/>
      <w:lvlText w:val=""/>
      <w:lvlJc w:val="left"/>
      <w:pPr>
        <w:tabs>
          <w:tab w:val="num" w:pos="2160"/>
        </w:tabs>
        <w:ind w:left="2160" w:hanging="360"/>
      </w:pPr>
      <w:rPr>
        <w:rFonts w:ascii="Wingdings" w:hAnsi="Wingdings" w:hint="default"/>
      </w:rPr>
    </w:lvl>
    <w:lvl w:ilvl="3" w:tplc="413E4390" w:tentative="1">
      <w:start w:val="1"/>
      <w:numFmt w:val="bullet"/>
      <w:lvlText w:val=""/>
      <w:lvlJc w:val="left"/>
      <w:pPr>
        <w:tabs>
          <w:tab w:val="num" w:pos="2880"/>
        </w:tabs>
        <w:ind w:left="2880" w:hanging="360"/>
      </w:pPr>
      <w:rPr>
        <w:rFonts w:ascii="Wingdings" w:hAnsi="Wingdings" w:hint="default"/>
      </w:rPr>
    </w:lvl>
    <w:lvl w:ilvl="4" w:tplc="663EDD04" w:tentative="1">
      <w:start w:val="1"/>
      <w:numFmt w:val="bullet"/>
      <w:lvlText w:val=""/>
      <w:lvlJc w:val="left"/>
      <w:pPr>
        <w:tabs>
          <w:tab w:val="num" w:pos="3600"/>
        </w:tabs>
        <w:ind w:left="3600" w:hanging="360"/>
      </w:pPr>
      <w:rPr>
        <w:rFonts w:ascii="Wingdings" w:hAnsi="Wingdings" w:hint="default"/>
      </w:rPr>
    </w:lvl>
    <w:lvl w:ilvl="5" w:tplc="7040B252" w:tentative="1">
      <w:start w:val="1"/>
      <w:numFmt w:val="bullet"/>
      <w:lvlText w:val=""/>
      <w:lvlJc w:val="left"/>
      <w:pPr>
        <w:tabs>
          <w:tab w:val="num" w:pos="4320"/>
        </w:tabs>
        <w:ind w:left="4320" w:hanging="360"/>
      </w:pPr>
      <w:rPr>
        <w:rFonts w:ascii="Wingdings" w:hAnsi="Wingdings" w:hint="default"/>
      </w:rPr>
    </w:lvl>
    <w:lvl w:ilvl="6" w:tplc="AB4AA1F6" w:tentative="1">
      <w:start w:val="1"/>
      <w:numFmt w:val="bullet"/>
      <w:lvlText w:val=""/>
      <w:lvlJc w:val="left"/>
      <w:pPr>
        <w:tabs>
          <w:tab w:val="num" w:pos="5040"/>
        </w:tabs>
        <w:ind w:left="5040" w:hanging="360"/>
      </w:pPr>
      <w:rPr>
        <w:rFonts w:ascii="Wingdings" w:hAnsi="Wingdings" w:hint="default"/>
      </w:rPr>
    </w:lvl>
    <w:lvl w:ilvl="7" w:tplc="0C383D96" w:tentative="1">
      <w:start w:val="1"/>
      <w:numFmt w:val="bullet"/>
      <w:lvlText w:val=""/>
      <w:lvlJc w:val="left"/>
      <w:pPr>
        <w:tabs>
          <w:tab w:val="num" w:pos="5760"/>
        </w:tabs>
        <w:ind w:left="5760" w:hanging="360"/>
      </w:pPr>
      <w:rPr>
        <w:rFonts w:ascii="Wingdings" w:hAnsi="Wingdings" w:hint="default"/>
      </w:rPr>
    </w:lvl>
    <w:lvl w:ilvl="8" w:tplc="1C7659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718AD"/>
    <w:multiLevelType w:val="hybridMultilevel"/>
    <w:tmpl w:val="A7749440"/>
    <w:lvl w:ilvl="0" w:tplc="2360618C">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60822"/>
    <w:multiLevelType w:val="hybridMultilevel"/>
    <w:tmpl w:val="4350DD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CA257AD"/>
    <w:multiLevelType w:val="hybridMultilevel"/>
    <w:tmpl w:val="A7749440"/>
    <w:lvl w:ilvl="0" w:tplc="2360618C">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D7A40"/>
    <w:multiLevelType w:val="hybridMultilevel"/>
    <w:tmpl w:val="949A3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FB37E2"/>
    <w:multiLevelType w:val="hybridMultilevel"/>
    <w:tmpl w:val="34E0B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04530A"/>
    <w:multiLevelType w:val="hybridMultilevel"/>
    <w:tmpl w:val="F1FE4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B926741"/>
    <w:multiLevelType w:val="hybridMultilevel"/>
    <w:tmpl w:val="1388B39E"/>
    <w:lvl w:ilvl="0" w:tplc="AD66D6C0">
      <w:start w:val="2"/>
      <w:numFmt w:val="bullet"/>
      <w:lvlText w:val=""/>
      <w:lvlJc w:val="left"/>
      <w:pPr>
        <w:ind w:left="720" w:hanging="360"/>
      </w:pPr>
      <w:rPr>
        <w:rFonts w:ascii="Symbol" w:eastAsia="Times New Roman"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E25FF0"/>
    <w:multiLevelType w:val="hybridMultilevel"/>
    <w:tmpl w:val="BAD88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145D2A"/>
    <w:multiLevelType w:val="hybridMultilevel"/>
    <w:tmpl w:val="376A3F14"/>
    <w:lvl w:ilvl="0" w:tplc="240A0011">
      <w:start w:val="1"/>
      <w:numFmt w:val="decimal"/>
      <w:lvlText w:val="%1)"/>
      <w:lvlJc w:val="left"/>
      <w:pPr>
        <w:ind w:left="318" w:hanging="360"/>
      </w:pPr>
      <w:rPr>
        <w:rFonts w:hint="default"/>
        <w:b/>
      </w:rPr>
    </w:lvl>
    <w:lvl w:ilvl="1" w:tplc="240A0019">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10" w15:restartNumberingAfterBreak="0">
    <w:nsid w:val="20A171D3"/>
    <w:multiLevelType w:val="hybridMultilevel"/>
    <w:tmpl w:val="04B60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1644D4"/>
    <w:multiLevelType w:val="hybridMultilevel"/>
    <w:tmpl w:val="F29CF0CA"/>
    <w:lvl w:ilvl="0" w:tplc="13F87C4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9420DA"/>
    <w:multiLevelType w:val="hybridMultilevel"/>
    <w:tmpl w:val="DB76E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E00D17"/>
    <w:multiLevelType w:val="hybridMultilevel"/>
    <w:tmpl w:val="BB3C6252"/>
    <w:lvl w:ilvl="0" w:tplc="0A663D6C">
      <w:start w:val="4"/>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5A46A8"/>
    <w:multiLevelType w:val="hybridMultilevel"/>
    <w:tmpl w:val="CDBAF15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248E1A4F"/>
    <w:multiLevelType w:val="hybridMultilevel"/>
    <w:tmpl w:val="309EA942"/>
    <w:lvl w:ilvl="0" w:tplc="FB4AFD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906E5E"/>
    <w:multiLevelType w:val="hybridMultilevel"/>
    <w:tmpl w:val="AB64C7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83A6D3C"/>
    <w:multiLevelType w:val="hybridMultilevel"/>
    <w:tmpl w:val="88325B2C"/>
    <w:lvl w:ilvl="0" w:tplc="F788D9C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97C472B"/>
    <w:multiLevelType w:val="hybridMultilevel"/>
    <w:tmpl w:val="BDB8EFC4"/>
    <w:lvl w:ilvl="0" w:tplc="DA847440">
      <w:start w:val="1"/>
      <w:numFmt w:val="decimal"/>
      <w:lvlText w:val="%1."/>
      <w:lvlJc w:val="left"/>
      <w:pPr>
        <w:ind w:left="720" w:hanging="360"/>
      </w:pPr>
      <w:rPr>
        <w:rFonts w:asciiTheme="minorHAnsi" w:eastAsia="Arial" w:hAnsiTheme="minorHAnsi" w:cstheme="minorHAnsi" w:hint="default"/>
        <w:b/>
        <w:i/>
        <w:color w:val="auto"/>
        <w:sz w:val="24"/>
        <w:szCs w:val="24"/>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660B32"/>
    <w:multiLevelType w:val="hybridMultilevel"/>
    <w:tmpl w:val="9AA42C50"/>
    <w:lvl w:ilvl="0" w:tplc="240A0011">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6049B6"/>
    <w:multiLevelType w:val="hybridMultilevel"/>
    <w:tmpl w:val="04B03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757FCD"/>
    <w:multiLevelType w:val="hybridMultilevel"/>
    <w:tmpl w:val="EDCEA640"/>
    <w:lvl w:ilvl="0" w:tplc="6890B2D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0211170"/>
    <w:multiLevelType w:val="hybridMultilevel"/>
    <w:tmpl w:val="344244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71B56B0"/>
    <w:multiLevelType w:val="hybridMultilevel"/>
    <w:tmpl w:val="97CABB06"/>
    <w:lvl w:ilvl="0" w:tplc="71BEF3AC">
      <w:start w:val="1"/>
      <w:numFmt w:val="lowerLetter"/>
      <w:lvlText w:val="%1)"/>
      <w:lvlJc w:val="left"/>
      <w:pPr>
        <w:ind w:left="720" w:hanging="360"/>
      </w:pPr>
      <w:rPr>
        <w:rFonts w:hint="default"/>
        <w:b/>
        <w:color w:val="auto"/>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430F2C"/>
    <w:multiLevelType w:val="hybridMultilevel"/>
    <w:tmpl w:val="5972E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8723886"/>
    <w:multiLevelType w:val="hybridMultilevel"/>
    <w:tmpl w:val="D4345DFE"/>
    <w:lvl w:ilvl="0" w:tplc="240A0011">
      <w:start w:val="1"/>
      <w:numFmt w:val="decimal"/>
      <w:lvlText w:val="%1)"/>
      <w:lvlJc w:val="left"/>
      <w:pPr>
        <w:ind w:left="318" w:hanging="360"/>
      </w:pPr>
      <w:rPr>
        <w:rFonts w:hint="default"/>
        <w:b/>
      </w:rPr>
    </w:lvl>
    <w:lvl w:ilvl="1" w:tplc="240A0019">
      <w:start w:val="1"/>
      <w:numFmt w:val="lowerLetter"/>
      <w:lvlText w:val="%2."/>
      <w:lvlJc w:val="left"/>
      <w:pPr>
        <w:ind w:left="1038" w:hanging="360"/>
      </w:pPr>
    </w:lvl>
    <w:lvl w:ilvl="2" w:tplc="240A001B" w:tentative="1">
      <w:start w:val="1"/>
      <w:numFmt w:val="lowerRoman"/>
      <w:lvlText w:val="%3."/>
      <w:lvlJc w:val="right"/>
      <w:pPr>
        <w:ind w:left="1758" w:hanging="180"/>
      </w:pPr>
    </w:lvl>
    <w:lvl w:ilvl="3" w:tplc="240A000F" w:tentative="1">
      <w:start w:val="1"/>
      <w:numFmt w:val="decimal"/>
      <w:lvlText w:val="%4."/>
      <w:lvlJc w:val="left"/>
      <w:pPr>
        <w:ind w:left="2478" w:hanging="360"/>
      </w:pPr>
    </w:lvl>
    <w:lvl w:ilvl="4" w:tplc="240A0019" w:tentative="1">
      <w:start w:val="1"/>
      <w:numFmt w:val="lowerLetter"/>
      <w:lvlText w:val="%5."/>
      <w:lvlJc w:val="left"/>
      <w:pPr>
        <w:ind w:left="3198" w:hanging="360"/>
      </w:pPr>
    </w:lvl>
    <w:lvl w:ilvl="5" w:tplc="240A001B" w:tentative="1">
      <w:start w:val="1"/>
      <w:numFmt w:val="lowerRoman"/>
      <w:lvlText w:val="%6."/>
      <w:lvlJc w:val="right"/>
      <w:pPr>
        <w:ind w:left="3918" w:hanging="180"/>
      </w:pPr>
    </w:lvl>
    <w:lvl w:ilvl="6" w:tplc="240A000F" w:tentative="1">
      <w:start w:val="1"/>
      <w:numFmt w:val="decimal"/>
      <w:lvlText w:val="%7."/>
      <w:lvlJc w:val="left"/>
      <w:pPr>
        <w:ind w:left="4638" w:hanging="360"/>
      </w:pPr>
    </w:lvl>
    <w:lvl w:ilvl="7" w:tplc="240A0019" w:tentative="1">
      <w:start w:val="1"/>
      <w:numFmt w:val="lowerLetter"/>
      <w:lvlText w:val="%8."/>
      <w:lvlJc w:val="left"/>
      <w:pPr>
        <w:ind w:left="5358" w:hanging="360"/>
      </w:pPr>
    </w:lvl>
    <w:lvl w:ilvl="8" w:tplc="240A001B" w:tentative="1">
      <w:start w:val="1"/>
      <w:numFmt w:val="lowerRoman"/>
      <w:lvlText w:val="%9."/>
      <w:lvlJc w:val="right"/>
      <w:pPr>
        <w:ind w:left="6078" w:hanging="180"/>
      </w:pPr>
    </w:lvl>
  </w:abstractNum>
  <w:abstractNum w:abstractNumId="27" w15:restartNumberingAfterBreak="0">
    <w:nsid w:val="388A4FBE"/>
    <w:multiLevelType w:val="hybridMultilevel"/>
    <w:tmpl w:val="C2B66C86"/>
    <w:lvl w:ilvl="0" w:tplc="AE28DA04">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CF060E"/>
    <w:multiLevelType w:val="hybridMultilevel"/>
    <w:tmpl w:val="D2EC69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3EE52AA3"/>
    <w:multiLevelType w:val="hybridMultilevel"/>
    <w:tmpl w:val="A1A852AE"/>
    <w:lvl w:ilvl="0" w:tplc="9A7066D6">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14E0CBC"/>
    <w:multiLevelType w:val="multilevel"/>
    <w:tmpl w:val="27427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043BE6"/>
    <w:multiLevelType w:val="hybridMultilevel"/>
    <w:tmpl w:val="181645A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3914132"/>
    <w:multiLevelType w:val="hybridMultilevel"/>
    <w:tmpl w:val="D74E7C4E"/>
    <w:lvl w:ilvl="0" w:tplc="2360618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69342C8"/>
    <w:multiLevelType w:val="hybridMultilevel"/>
    <w:tmpl w:val="33024880"/>
    <w:lvl w:ilvl="0" w:tplc="28302F54">
      <w:numFmt w:val="bullet"/>
      <w:lvlText w:val="-"/>
      <w:lvlJc w:val="left"/>
      <w:pPr>
        <w:ind w:left="720" w:hanging="360"/>
      </w:pPr>
      <w:rPr>
        <w:rFonts w:ascii="Calibri" w:eastAsia="Calibri" w:hAnsi="Calibri" w:cs="Calibri" w:hint="default"/>
        <w:color w:val="auto"/>
      </w:rPr>
    </w:lvl>
    <w:lvl w:ilvl="1" w:tplc="58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48952E4E"/>
    <w:multiLevelType w:val="hybridMultilevel"/>
    <w:tmpl w:val="4912B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895387E"/>
    <w:multiLevelType w:val="hybridMultilevel"/>
    <w:tmpl w:val="E7C05DF8"/>
    <w:lvl w:ilvl="0" w:tplc="095430D2">
      <w:numFmt w:val="bullet"/>
      <w:lvlText w:val="─"/>
      <w:lvlJc w:val="left"/>
      <w:pPr>
        <w:ind w:left="1440" w:hanging="360"/>
      </w:pPr>
      <w:rPr>
        <w:rFonts w:ascii="Calibri" w:eastAsia="Calibri" w:hAnsi="Calibri" w:hint="default"/>
        <w:color w:val="202020"/>
        <w:w w:val="100"/>
        <w:sz w:val="22"/>
        <w:szCs w:val="22"/>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4CFF1346"/>
    <w:multiLevelType w:val="hybridMultilevel"/>
    <w:tmpl w:val="C388F5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D771E8B"/>
    <w:multiLevelType w:val="hybridMultilevel"/>
    <w:tmpl w:val="F470E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2800E9"/>
    <w:multiLevelType w:val="hybridMultilevel"/>
    <w:tmpl w:val="491403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52F24F0A"/>
    <w:multiLevelType w:val="hybridMultilevel"/>
    <w:tmpl w:val="D4B23B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4133500"/>
    <w:multiLevelType w:val="hybridMultilevel"/>
    <w:tmpl w:val="FEA45FF0"/>
    <w:lvl w:ilvl="0" w:tplc="5B9A8C3E">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8B96928"/>
    <w:multiLevelType w:val="hybridMultilevel"/>
    <w:tmpl w:val="C824C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596A11BC"/>
    <w:multiLevelType w:val="hybridMultilevel"/>
    <w:tmpl w:val="40C4FA3E"/>
    <w:lvl w:ilvl="0" w:tplc="A69089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F63587"/>
    <w:multiLevelType w:val="hybridMultilevel"/>
    <w:tmpl w:val="937680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639A6718"/>
    <w:multiLevelType w:val="hybridMultilevel"/>
    <w:tmpl w:val="666E1606"/>
    <w:lvl w:ilvl="0" w:tplc="240A0011">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68746687"/>
    <w:multiLevelType w:val="hybridMultilevel"/>
    <w:tmpl w:val="A7588DD8"/>
    <w:lvl w:ilvl="0" w:tplc="10BAF762">
      <w:start w:val="1"/>
      <w:numFmt w:val="decimal"/>
      <w:lvlText w:val="%1."/>
      <w:lvlJc w:val="left"/>
      <w:pPr>
        <w:ind w:left="720"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89577A7"/>
    <w:multiLevelType w:val="hybridMultilevel"/>
    <w:tmpl w:val="16A654B6"/>
    <w:lvl w:ilvl="0" w:tplc="F8D48646">
      <w:start w:val="2"/>
      <w:numFmt w:val="decimal"/>
      <w:lvlText w:val="%1)"/>
      <w:lvlJc w:val="left"/>
      <w:pPr>
        <w:ind w:left="318"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A9A765F"/>
    <w:multiLevelType w:val="hybridMultilevel"/>
    <w:tmpl w:val="F2D67F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7348E9"/>
    <w:multiLevelType w:val="hybridMultilevel"/>
    <w:tmpl w:val="309EA942"/>
    <w:lvl w:ilvl="0" w:tplc="FB4AFDD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E1C720A"/>
    <w:multiLevelType w:val="hybridMultilevel"/>
    <w:tmpl w:val="8190F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0734041"/>
    <w:multiLevelType w:val="hybridMultilevel"/>
    <w:tmpl w:val="6CE05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E1220A"/>
    <w:multiLevelType w:val="hybridMultilevel"/>
    <w:tmpl w:val="C6C64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D353709"/>
    <w:multiLevelType w:val="hybridMultilevel"/>
    <w:tmpl w:val="1002A0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7E4560B7"/>
    <w:multiLevelType w:val="hybridMultilevel"/>
    <w:tmpl w:val="851E6E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6"/>
  </w:num>
  <w:num w:numId="2">
    <w:abstractNumId w:val="14"/>
  </w:num>
  <w:num w:numId="3">
    <w:abstractNumId w:val="40"/>
  </w:num>
  <w:num w:numId="4">
    <w:abstractNumId w:val="13"/>
  </w:num>
  <w:num w:numId="5">
    <w:abstractNumId w:val="30"/>
  </w:num>
  <w:num w:numId="6">
    <w:abstractNumId w:val="33"/>
  </w:num>
  <w:num w:numId="7">
    <w:abstractNumId w:val="7"/>
  </w:num>
  <w:num w:numId="8">
    <w:abstractNumId w:val="36"/>
  </w:num>
  <w:num w:numId="9">
    <w:abstractNumId w:val="39"/>
  </w:num>
  <w:num w:numId="10">
    <w:abstractNumId w:val="50"/>
  </w:num>
  <w:num w:numId="11">
    <w:abstractNumId w:val="10"/>
  </w:num>
  <w:num w:numId="12">
    <w:abstractNumId w:val="42"/>
  </w:num>
  <w:num w:numId="13">
    <w:abstractNumId w:val="51"/>
  </w:num>
  <w:num w:numId="14">
    <w:abstractNumId w:val="25"/>
  </w:num>
  <w:num w:numId="15">
    <w:abstractNumId w:val="5"/>
  </w:num>
  <w:num w:numId="16">
    <w:abstractNumId w:val="8"/>
  </w:num>
  <w:num w:numId="17">
    <w:abstractNumId w:val="43"/>
  </w:num>
  <w:num w:numId="18">
    <w:abstractNumId w:val="9"/>
  </w:num>
  <w:num w:numId="19">
    <w:abstractNumId w:val="3"/>
  </w:num>
  <w:num w:numId="20">
    <w:abstractNumId w:val="4"/>
  </w:num>
  <w:num w:numId="21">
    <w:abstractNumId w:val="35"/>
  </w:num>
  <w:num w:numId="22">
    <w:abstractNumId w:val="18"/>
  </w:num>
  <w:num w:numId="23">
    <w:abstractNumId w:val="20"/>
  </w:num>
  <w:num w:numId="24">
    <w:abstractNumId w:val="32"/>
  </w:num>
  <w:num w:numId="25">
    <w:abstractNumId w:val="6"/>
  </w:num>
  <w:num w:numId="26">
    <w:abstractNumId w:val="45"/>
  </w:num>
  <w:num w:numId="27">
    <w:abstractNumId w:val="48"/>
  </w:num>
  <w:num w:numId="28">
    <w:abstractNumId w:val="49"/>
  </w:num>
  <w:num w:numId="29">
    <w:abstractNumId w:val="37"/>
  </w:num>
  <w:num w:numId="30">
    <w:abstractNumId w:val="41"/>
  </w:num>
  <w:num w:numId="31">
    <w:abstractNumId w:val="27"/>
  </w:num>
  <w:num w:numId="32">
    <w:abstractNumId w:val="29"/>
  </w:num>
  <w:num w:numId="33">
    <w:abstractNumId w:val="22"/>
  </w:num>
  <w:num w:numId="34">
    <w:abstractNumId w:val="52"/>
  </w:num>
  <w:num w:numId="35">
    <w:abstractNumId w:val="21"/>
  </w:num>
  <w:num w:numId="36">
    <w:abstractNumId w:val="11"/>
  </w:num>
  <w:num w:numId="37">
    <w:abstractNumId w:val="38"/>
  </w:num>
  <w:num w:numId="38">
    <w:abstractNumId w:val="23"/>
  </w:num>
  <w:num w:numId="39">
    <w:abstractNumId w:val="15"/>
  </w:num>
  <w:num w:numId="40">
    <w:abstractNumId w:val="53"/>
  </w:num>
  <w:num w:numId="41">
    <w:abstractNumId w:val="17"/>
  </w:num>
  <w:num w:numId="42">
    <w:abstractNumId w:val="54"/>
  </w:num>
  <w:num w:numId="43">
    <w:abstractNumId w:val="26"/>
  </w:num>
  <w:num w:numId="44">
    <w:abstractNumId w:val="24"/>
  </w:num>
  <w:num w:numId="45">
    <w:abstractNumId w:val="16"/>
  </w:num>
  <w:num w:numId="46">
    <w:abstractNumId w:val="2"/>
  </w:num>
  <w:num w:numId="47">
    <w:abstractNumId w:val="28"/>
  </w:num>
  <w:num w:numId="48">
    <w:abstractNumId w:val="19"/>
  </w:num>
  <w:num w:numId="49">
    <w:abstractNumId w:val="31"/>
  </w:num>
  <w:num w:numId="50">
    <w:abstractNumId w:val="0"/>
  </w:num>
  <w:num w:numId="51">
    <w:abstractNumId w:val="12"/>
  </w:num>
  <w:num w:numId="52">
    <w:abstractNumId w:val="44"/>
  </w:num>
  <w:num w:numId="53">
    <w:abstractNumId w:val="34"/>
  </w:num>
  <w:num w:numId="54">
    <w:abstractNumId w:val="1"/>
  </w:num>
  <w:num w:numId="55">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0BB"/>
    <w:rsid w:val="0001117F"/>
    <w:rsid w:val="0002448D"/>
    <w:rsid w:val="00033CA4"/>
    <w:rsid w:val="000362F0"/>
    <w:rsid w:val="00045BF5"/>
    <w:rsid w:val="00054206"/>
    <w:rsid w:val="000726F1"/>
    <w:rsid w:val="00072FE7"/>
    <w:rsid w:val="000809A9"/>
    <w:rsid w:val="00091C4F"/>
    <w:rsid w:val="000B5BB7"/>
    <w:rsid w:val="000C041F"/>
    <w:rsid w:val="000E32B0"/>
    <w:rsid w:val="000E5F85"/>
    <w:rsid w:val="00110DC8"/>
    <w:rsid w:val="00125557"/>
    <w:rsid w:val="0014088F"/>
    <w:rsid w:val="0014252F"/>
    <w:rsid w:val="00144891"/>
    <w:rsid w:val="00144D4F"/>
    <w:rsid w:val="00187872"/>
    <w:rsid w:val="001F3A49"/>
    <w:rsid w:val="00221F94"/>
    <w:rsid w:val="0022546B"/>
    <w:rsid w:val="00245344"/>
    <w:rsid w:val="002857BB"/>
    <w:rsid w:val="00287C23"/>
    <w:rsid w:val="002906AA"/>
    <w:rsid w:val="0029180F"/>
    <w:rsid w:val="00294407"/>
    <w:rsid w:val="002948D1"/>
    <w:rsid w:val="00297D18"/>
    <w:rsid w:val="002C248D"/>
    <w:rsid w:val="002C28B4"/>
    <w:rsid w:val="002F1465"/>
    <w:rsid w:val="002F5BC2"/>
    <w:rsid w:val="003157B7"/>
    <w:rsid w:val="0031696C"/>
    <w:rsid w:val="0033345F"/>
    <w:rsid w:val="00337DF9"/>
    <w:rsid w:val="00344C89"/>
    <w:rsid w:val="00346A57"/>
    <w:rsid w:val="0036411F"/>
    <w:rsid w:val="00365E6D"/>
    <w:rsid w:val="00370A6A"/>
    <w:rsid w:val="003A5098"/>
    <w:rsid w:val="003B7973"/>
    <w:rsid w:val="003C39B2"/>
    <w:rsid w:val="003D4C39"/>
    <w:rsid w:val="003D7E06"/>
    <w:rsid w:val="003E26CD"/>
    <w:rsid w:val="003F43B3"/>
    <w:rsid w:val="004069E7"/>
    <w:rsid w:val="00411511"/>
    <w:rsid w:val="00417720"/>
    <w:rsid w:val="00444DC1"/>
    <w:rsid w:val="004523E1"/>
    <w:rsid w:val="00452CD5"/>
    <w:rsid w:val="004775AB"/>
    <w:rsid w:val="0048016F"/>
    <w:rsid w:val="00492721"/>
    <w:rsid w:val="004A39A8"/>
    <w:rsid w:val="004F6C11"/>
    <w:rsid w:val="00501D1C"/>
    <w:rsid w:val="00524D95"/>
    <w:rsid w:val="005409D3"/>
    <w:rsid w:val="00552499"/>
    <w:rsid w:val="005539A3"/>
    <w:rsid w:val="00561308"/>
    <w:rsid w:val="00583D8D"/>
    <w:rsid w:val="005867FD"/>
    <w:rsid w:val="005965DF"/>
    <w:rsid w:val="005B2C9D"/>
    <w:rsid w:val="005D467E"/>
    <w:rsid w:val="00623C90"/>
    <w:rsid w:val="00631DF4"/>
    <w:rsid w:val="00646501"/>
    <w:rsid w:val="00670D21"/>
    <w:rsid w:val="006736BB"/>
    <w:rsid w:val="00675847"/>
    <w:rsid w:val="006824F0"/>
    <w:rsid w:val="006839F8"/>
    <w:rsid w:val="00686C78"/>
    <w:rsid w:val="006A1506"/>
    <w:rsid w:val="006A5525"/>
    <w:rsid w:val="006A5D76"/>
    <w:rsid w:val="006B4973"/>
    <w:rsid w:val="006B4F38"/>
    <w:rsid w:val="006C6CD9"/>
    <w:rsid w:val="006D2425"/>
    <w:rsid w:val="006E564C"/>
    <w:rsid w:val="00706A92"/>
    <w:rsid w:val="00714C12"/>
    <w:rsid w:val="00715628"/>
    <w:rsid w:val="0073060D"/>
    <w:rsid w:val="007366FE"/>
    <w:rsid w:val="00752298"/>
    <w:rsid w:val="00784E2E"/>
    <w:rsid w:val="00785A72"/>
    <w:rsid w:val="007A51E4"/>
    <w:rsid w:val="007B7518"/>
    <w:rsid w:val="007C0B43"/>
    <w:rsid w:val="007C3278"/>
    <w:rsid w:val="007C78A6"/>
    <w:rsid w:val="007D29AA"/>
    <w:rsid w:val="007D5F9E"/>
    <w:rsid w:val="007D6538"/>
    <w:rsid w:val="00816A0B"/>
    <w:rsid w:val="008229AE"/>
    <w:rsid w:val="00834733"/>
    <w:rsid w:val="0085415A"/>
    <w:rsid w:val="00854E2A"/>
    <w:rsid w:val="00882CA4"/>
    <w:rsid w:val="00884269"/>
    <w:rsid w:val="00890462"/>
    <w:rsid w:val="008D60D8"/>
    <w:rsid w:val="008F3CE3"/>
    <w:rsid w:val="009038CF"/>
    <w:rsid w:val="00920919"/>
    <w:rsid w:val="00921510"/>
    <w:rsid w:val="00950CE2"/>
    <w:rsid w:val="009572B6"/>
    <w:rsid w:val="0097162F"/>
    <w:rsid w:val="00973C68"/>
    <w:rsid w:val="00986AA1"/>
    <w:rsid w:val="00994C42"/>
    <w:rsid w:val="009D507C"/>
    <w:rsid w:val="009D6BB6"/>
    <w:rsid w:val="009E05E5"/>
    <w:rsid w:val="009E1239"/>
    <w:rsid w:val="009F4828"/>
    <w:rsid w:val="009F7726"/>
    <w:rsid w:val="00A0734B"/>
    <w:rsid w:val="00A1223A"/>
    <w:rsid w:val="00A135B5"/>
    <w:rsid w:val="00A149D9"/>
    <w:rsid w:val="00A230C2"/>
    <w:rsid w:val="00A2350F"/>
    <w:rsid w:val="00A2697D"/>
    <w:rsid w:val="00A27F34"/>
    <w:rsid w:val="00A4248A"/>
    <w:rsid w:val="00A45B01"/>
    <w:rsid w:val="00A574AC"/>
    <w:rsid w:val="00A8235A"/>
    <w:rsid w:val="00AA33B8"/>
    <w:rsid w:val="00AD2365"/>
    <w:rsid w:val="00AD2B4F"/>
    <w:rsid w:val="00AF1012"/>
    <w:rsid w:val="00B068E7"/>
    <w:rsid w:val="00B075F4"/>
    <w:rsid w:val="00B143DB"/>
    <w:rsid w:val="00B44F47"/>
    <w:rsid w:val="00B52D35"/>
    <w:rsid w:val="00B73071"/>
    <w:rsid w:val="00B80B00"/>
    <w:rsid w:val="00B85A92"/>
    <w:rsid w:val="00B86DB7"/>
    <w:rsid w:val="00B929FE"/>
    <w:rsid w:val="00B97015"/>
    <w:rsid w:val="00BD631A"/>
    <w:rsid w:val="00BE1198"/>
    <w:rsid w:val="00BE1F59"/>
    <w:rsid w:val="00C02288"/>
    <w:rsid w:val="00C24183"/>
    <w:rsid w:val="00C371E7"/>
    <w:rsid w:val="00C47E1A"/>
    <w:rsid w:val="00C65083"/>
    <w:rsid w:val="00CB4C77"/>
    <w:rsid w:val="00CB5F18"/>
    <w:rsid w:val="00CE44B3"/>
    <w:rsid w:val="00D03A41"/>
    <w:rsid w:val="00D26D6E"/>
    <w:rsid w:val="00D27392"/>
    <w:rsid w:val="00D51314"/>
    <w:rsid w:val="00D53637"/>
    <w:rsid w:val="00D57328"/>
    <w:rsid w:val="00D63D35"/>
    <w:rsid w:val="00D66D19"/>
    <w:rsid w:val="00D81F34"/>
    <w:rsid w:val="00DC55E8"/>
    <w:rsid w:val="00DE0671"/>
    <w:rsid w:val="00DE4335"/>
    <w:rsid w:val="00DE6337"/>
    <w:rsid w:val="00DE6874"/>
    <w:rsid w:val="00DF1F23"/>
    <w:rsid w:val="00E22940"/>
    <w:rsid w:val="00E247CE"/>
    <w:rsid w:val="00E2551E"/>
    <w:rsid w:val="00E447B3"/>
    <w:rsid w:val="00E64777"/>
    <w:rsid w:val="00E74266"/>
    <w:rsid w:val="00E774F2"/>
    <w:rsid w:val="00E82A24"/>
    <w:rsid w:val="00E84124"/>
    <w:rsid w:val="00EA31BB"/>
    <w:rsid w:val="00EA5869"/>
    <w:rsid w:val="00EC6955"/>
    <w:rsid w:val="00ED26CA"/>
    <w:rsid w:val="00ED5251"/>
    <w:rsid w:val="00ED7FCF"/>
    <w:rsid w:val="00F10E86"/>
    <w:rsid w:val="00F14E1C"/>
    <w:rsid w:val="00F172EB"/>
    <w:rsid w:val="00F17A86"/>
    <w:rsid w:val="00F3293B"/>
    <w:rsid w:val="00F42C5A"/>
    <w:rsid w:val="00FA163F"/>
    <w:rsid w:val="00FA6A71"/>
    <w:rsid w:val="00FB2528"/>
    <w:rsid w:val="00FB41AD"/>
    <w:rsid w:val="00FE67F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5E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Bullet List,FooterText,numbered,List Paragraph1,Paragraphe de liste1,lp1,HOJA,Bolita,List Paragraph,Párrafo de lista4,BOLADEF,Párrafo de lista3,Párrafo de lista21,BOLA,Nivel 1 OS,Colorful List Accent 1,Colorful List - Accent 11,b1,Foot"/>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styleId="Mencinsinresolver">
    <w:name w:val="Unresolved Mention"/>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character" w:customStyle="1" w:styleId="PrrafodelistaCar">
    <w:name w:val="Párrafo de lista Car"/>
    <w:aliases w:val="Bullet List Car,FooterText Car,numbered Car,List Paragraph1 Car,Paragraphe de liste1 Car,lp1 Car,HOJA Car,Bolita Car,List Paragraph Car,Párrafo de lista4 Car,BOLADEF Car,Párrafo de lista3 Car,Párrafo de lista21 Car,BOLA Car,b1 Car"/>
    <w:link w:val="Prrafodelista"/>
    <w:uiPriority w:val="34"/>
    <w:qFormat/>
    <w:locked/>
    <w:rsid w:val="0029180F"/>
    <w:rPr>
      <w:lang w:val="es-ES_tradnl"/>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29180F"/>
    <w:pPr>
      <w:spacing w:after="0" w:line="240" w:lineRule="auto"/>
    </w:pPr>
    <w:rPr>
      <w:rFonts w:ascii="Calibri" w:eastAsia="Calibri" w:hAnsi="Calibri" w:cs="Times New Roman"/>
      <w:sz w:val="20"/>
      <w:szCs w:val="20"/>
      <w:lang w:val="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29180F"/>
    <w:rPr>
      <w:rFonts w:ascii="Calibri" w:eastAsia="Calibri" w:hAnsi="Calibri" w:cs="Times New Roman"/>
      <w:sz w:val="20"/>
      <w:szCs w:val="20"/>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iPriority w:val="99"/>
    <w:unhideWhenUsed/>
    <w:qFormat/>
    <w:rsid w:val="0029180F"/>
    <w:rPr>
      <w:vertAlign w:val="superscript"/>
    </w:rPr>
  </w:style>
  <w:style w:type="paragraph" w:customStyle="1" w:styleId="Char2">
    <w:name w:val="Char2"/>
    <w:basedOn w:val="Normal"/>
    <w:link w:val="Refdenotaalpie"/>
    <w:uiPriority w:val="99"/>
    <w:rsid w:val="0029180F"/>
    <w:pPr>
      <w:spacing w:line="240" w:lineRule="exact"/>
      <w:jc w:val="both"/>
    </w:pPr>
    <w:rPr>
      <w:vertAlign w:val="superscript"/>
      <w:lang w:val="es-CO"/>
    </w:rPr>
  </w:style>
  <w:style w:type="paragraph" w:customStyle="1" w:styleId="Default">
    <w:name w:val="Default"/>
    <w:link w:val="DefaultCar"/>
    <w:qFormat/>
    <w:rsid w:val="0029180F"/>
    <w:pPr>
      <w:autoSpaceDE w:val="0"/>
      <w:autoSpaceDN w:val="0"/>
      <w:adjustRightInd w:val="0"/>
      <w:spacing w:after="0" w:line="240" w:lineRule="auto"/>
    </w:pPr>
    <w:rPr>
      <w:rFonts w:ascii="Futura Std Book" w:eastAsia="Calibri" w:hAnsi="Futura Std Book" w:cs="Futura Std Book"/>
      <w:color w:val="000000"/>
      <w:sz w:val="24"/>
      <w:szCs w:val="24"/>
      <w:lang w:eastAsia="es-419"/>
    </w:rPr>
  </w:style>
  <w:style w:type="paragraph" w:styleId="NormalWeb">
    <w:name w:val="Normal (Web)"/>
    <w:basedOn w:val="Normal"/>
    <w:uiPriority w:val="99"/>
    <w:unhideWhenUsed/>
    <w:rsid w:val="0029180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DefaultCar">
    <w:name w:val="Default Car"/>
    <w:link w:val="Default"/>
    <w:locked/>
    <w:rsid w:val="0029180F"/>
    <w:rPr>
      <w:rFonts w:ascii="Futura Std Book" w:eastAsia="Calibri" w:hAnsi="Futura Std Book" w:cs="Futura Std Book"/>
      <w:color w:val="000000"/>
      <w:sz w:val="24"/>
      <w:szCs w:val="24"/>
      <w:lang w:eastAsia="es-419"/>
    </w:rPr>
  </w:style>
  <w:style w:type="paragraph" w:styleId="Sinespaciado">
    <w:name w:val="No Spacing"/>
    <w:link w:val="SinespaciadoCar"/>
    <w:uiPriority w:val="1"/>
    <w:qFormat/>
    <w:rsid w:val="00E447B3"/>
    <w:rPr>
      <w:rFonts w:eastAsiaTheme="minorEastAsia"/>
    </w:rPr>
  </w:style>
  <w:style w:type="character" w:customStyle="1" w:styleId="SinespaciadoCar">
    <w:name w:val="Sin espaciado Car"/>
    <w:basedOn w:val="Fuentedeprrafopredeter"/>
    <w:link w:val="Sinespaciado"/>
    <w:uiPriority w:val="1"/>
    <w:rsid w:val="00E447B3"/>
    <w:rPr>
      <w:rFonts w:eastAsiaTheme="minorEastAsia"/>
    </w:rPr>
  </w:style>
  <w:style w:type="paragraph" w:customStyle="1" w:styleId="CM18">
    <w:name w:val="CM18"/>
    <w:basedOn w:val="Default"/>
    <w:next w:val="Default"/>
    <w:uiPriority w:val="99"/>
    <w:rsid w:val="002857BB"/>
    <w:rPr>
      <w:rFonts w:ascii="Arial" w:hAnsi="Arial" w:cs="Arial"/>
      <w:color w:val="auto"/>
    </w:rPr>
  </w:style>
  <w:style w:type="paragraph" w:styleId="Textodeglobo">
    <w:name w:val="Balloon Text"/>
    <w:basedOn w:val="Normal"/>
    <w:link w:val="TextodegloboCar"/>
    <w:uiPriority w:val="99"/>
    <w:semiHidden/>
    <w:unhideWhenUsed/>
    <w:rsid w:val="002453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344"/>
    <w:rPr>
      <w:rFonts w:ascii="Segoe UI" w:hAnsi="Segoe UI" w:cs="Segoe UI"/>
      <w:sz w:val="18"/>
      <w:szCs w:val="18"/>
      <w:lang w:val="es-ES_tradnl"/>
    </w:rPr>
  </w:style>
  <w:style w:type="paragraph" w:customStyle="1" w:styleId="Contenido">
    <w:name w:val="Contenido"/>
    <w:basedOn w:val="Normal"/>
    <w:link w:val="ContenidoCar"/>
    <w:qFormat/>
    <w:rsid w:val="00245344"/>
    <w:pPr>
      <w:spacing w:after="0"/>
      <w:ind w:left="2127"/>
    </w:pPr>
    <w:rPr>
      <w:rFonts w:ascii="Calibri" w:eastAsia="Calibri" w:hAnsi="Calibri" w:cs="Calibri"/>
      <w:color w:val="404040"/>
      <w:sz w:val="24"/>
      <w:szCs w:val="24"/>
      <w:lang w:val="es-CO"/>
    </w:rPr>
  </w:style>
  <w:style w:type="character" w:customStyle="1" w:styleId="ContenidoCar">
    <w:name w:val="Contenido Car"/>
    <w:link w:val="Contenido"/>
    <w:rsid w:val="00245344"/>
    <w:rPr>
      <w:rFonts w:ascii="Calibri" w:eastAsia="Calibri" w:hAnsi="Calibri" w:cs="Calibri"/>
      <w:color w:val="404040"/>
      <w:sz w:val="24"/>
      <w:szCs w:val="24"/>
    </w:rPr>
  </w:style>
  <w:style w:type="paragraph" w:styleId="Textosinformato">
    <w:name w:val="Plain Text"/>
    <w:basedOn w:val="Normal"/>
    <w:link w:val="TextosinformatoCar"/>
    <w:uiPriority w:val="99"/>
    <w:unhideWhenUsed/>
    <w:rsid w:val="00986AA1"/>
    <w:pPr>
      <w:spacing w:after="0" w:line="240" w:lineRule="auto"/>
    </w:pPr>
    <w:rPr>
      <w:rFonts w:ascii="Calibri" w:hAnsi="Calibri"/>
      <w:szCs w:val="21"/>
      <w:lang w:val="es-CO"/>
    </w:rPr>
  </w:style>
  <w:style w:type="character" w:customStyle="1" w:styleId="TextosinformatoCar">
    <w:name w:val="Texto sin formato Car"/>
    <w:basedOn w:val="Fuentedeprrafopredeter"/>
    <w:link w:val="Textosinformato"/>
    <w:uiPriority w:val="99"/>
    <w:rsid w:val="00986AA1"/>
    <w:rPr>
      <w:rFonts w:ascii="Calibri" w:hAnsi="Calibri"/>
      <w:szCs w:val="21"/>
    </w:rPr>
  </w:style>
  <w:style w:type="paragraph" w:styleId="Textonotaalfinal">
    <w:name w:val="endnote text"/>
    <w:basedOn w:val="Normal"/>
    <w:link w:val="TextonotaalfinalCar"/>
    <w:uiPriority w:val="99"/>
    <w:semiHidden/>
    <w:unhideWhenUsed/>
    <w:rsid w:val="007C0B4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0B43"/>
    <w:rPr>
      <w:sz w:val="20"/>
      <w:szCs w:val="20"/>
      <w:lang w:val="es-ES_tradnl"/>
    </w:rPr>
  </w:style>
  <w:style w:type="character" w:styleId="Refdenotaalfinal">
    <w:name w:val="endnote reference"/>
    <w:basedOn w:val="Fuentedeprrafopredeter"/>
    <w:uiPriority w:val="99"/>
    <w:semiHidden/>
    <w:unhideWhenUsed/>
    <w:rsid w:val="007C0B43"/>
    <w:rPr>
      <w:vertAlign w:val="superscript"/>
    </w:rPr>
  </w:style>
  <w:style w:type="paragraph" w:styleId="Textoindependiente">
    <w:name w:val="Body Text"/>
    <w:basedOn w:val="Normal"/>
    <w:link w:val="TextoindependienteCar"/>
    <w:uiPriority w:val="1"/>
    <w:qFormat/>
    <w:rsid w:val="00C0228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0228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532428311">
      <w:bodyDiv w:val="1"/>
      <w:marLeft w:val="0"/>
      <w:marRight w:val="0"/>
      <w:marTop w:val="0"/>
      <w:marBottom w:val="0"/>
      <w:divBdr>
        <w:top w:val="none" w:sz="0" w:space="0" w:color="auto"/>
        <w:left w:val="none" w:sz="0" w:space="0" w:color="auto"/>
        <w:bottom w:val="none" w:sz="0" w:space="0" w:color="auto"/>
        <w:right w:val="none" w:sz="0" w:space="0" w:color="auto"/>
      </w:divBdr>
    </w:div>
    <w:div w:id="858159078">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086070818">
      <w:bodyDiv w:val="1"/>
      <w:marLeft w:val="0"/>
      <w:marRight w:val="0"/>
      <w:marTop w:val="0"/>
      <w:marBottom w:val="0"/>
      <w:divBdr>
        <w:top w:val="none" w:sz="0" w:space="0" w:color="auto"/>
        <w:left w:val="none" w:sz="0" w:space="0" w:color="auto"/>
        <w:bottom w:val="none" w:sz="0" w:space="0" w:color="auto"/>
        <w:right w:val="none" w:sz="0" w:space="0" w:color="auto"/>
      </w:divBdr>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20702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ncionpublica.gov.co/eva/gestornormativo/norma.php?i=168027" TargetMode="External"/><Relationship Id="rId21" Type="http://schemas.openxmlformats.org/officeDocument/2006/relationships/hyperlink" Target="https://www.funcionpublica.gov.co/eva/gestornormativo/norma.php?i=78416" TargetMode="External"/><Relationship Id="rId34" Type="http://schemas.openxmlformats.org/officeDocument/2006/relationships/hyperlink" Target="http://www.colombiacompra.gov.co" TargetMode="External"/><Relationship Id="rId42" Type="http://schemas.openxmlformats.org/officeDocument/2006/relationships/hyperlink" Target="https://community.secop.gov.co/Public/Tendering/ContractNoticeManagement/Index?currentLanguage=es-CO&amp;Page=login&amp;Country=CO&amp;SkinName=CCE" TargetMode="External"/><Relationship Id="rId47" Type="http://schemas.openxmlformats.org/officeDocument/2006/relationships/hyperlink" Target="https://www.contratos.gov.co/consultas/detalleProceso.do?numConstancia=18-12-7733056" TargetMode="External"/><Relationship Id="rId50" Type="http://schemas.openxmlformats.org/officeDocument/2006/relationships/hyperlink" Target="mailto:celmirafrasser@reincorporacion.gov.co" TargetMode="External"/><Relationship Id="rId55" Type="http://schemas.openxmlformats.org/officeDocument/2006/relationships/hyperlink" Target="https://www.procuraduria.gov.co/portal/index.jsp?option=co.gov.pgn.portal.frontend.component.pagefactory.DenunciaImplAcuerdoPazComponentPageFactory" TargetMode="External"/><Relationship Id="rId68"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minsalud.gov.co/Normatividad_Nuevo/Resoluci%C3%B3n%20No.%202106%20del%202021.pdf" TargetMode="External"/><Relationship Id="rId11" Type="http://schemas.openxmlformats.org/officeDocument/2006/relationships/image" Target="media/image4.png"/><Relationship Id="rId24" Type="http://schemas.openxmlformats.org/officeDocument/2006/relationships/hyperlink" Target="https://www.funcionpublica.gov.co/eva/gestornormativo/norma.php?i=160946" TargetMode="External"/><Relationship Id="rId32" Type="http://schemas.openxmlformats.org/officeDocument/2006/relationships/hyperlink" Target="https://pruportal.reincorporacion.gov.co/es/agencia/Paginas/Informes_rendicion_cuentas_PAZ.aspx" TargetMode="External"/><Relationship Id="rId37" Type="http://schemas.openxmlformats.org/officeDocument/2006/relationships/hyperlink" Target="https://www.contratos.gov.co/consultas/detalleProceso.do?numConstancia=18-4-7733643" TargetMode="External"/><Relationship Id="rId40" Type="http://schemas.openxmlformats.org/officeDocument/2006/relationships/hyperlink" Target="https://community.secop.gov.co/Public/Tendering/ContractNoticeManagement/Index?currentLanguage=es-CO&amp;Page=login&amp;Country=CO&amp;SkinName=CCE" TargetMode="External"/><Relationship Id="rId45" Type="http://schemas.openxmlformats.org/officeDocument/2006/relationships/hyperlink" Target="https://www.secop.gov.co/CO1ContractsManagement/Tendering/ProcurementContractEdit/View?docUniqueIdentifier=CO1.PCCNTR.2672681&amp;prevCtxUrl=https%3a%2f%2fwww.secop.gov.co%2fCO1ContractsManagement%2fTendering%2fProcurementContractManagement%2fIndex&amp;prevCtxLbl=Contratos" TargetMode="External"/><Relationship Id="rId53" Type="http://schemas.openxmlformats.org/officeDocument/2006/relationships/hyperlink" Target="http://www.contraloria.gov.co/web/guest/atencion-al-ciudadano/denuncias-y-otras-solicitudes-pqrd" TargetMode="External"/><Relationship Id="rId58" Type="http://schemas.openxmlformats.org/officeDocument/2006/relationships/hyperlink" Target="https://www.policia.gov.co/"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0.png"/><Relationship Id="rId14" Type="http://schemas.openxmlformats.org/officeDocument/2006/relationships/hyperlink" Target="https://www.youtube.com/watch?v=qSghpRFfmAY" TargetMode="External"/><Relationship Id="rId22" Type="http://schemas.openxmlformats.org/officeDocument/2006/relationships/hyperlink" Target="https://www.funcionpublica.gov.co/eva/gestornormativo/norma.php?i=160946" TargetMode="External"/><Relationship Id="rId27" Type="http://schemas.openxmlformats.org/officeDocument/2006/relationships/hyperlink" Target="https://www.alcaldiabogota.gov.co/sisjur/normas/Norma1.jsp?i=119520" TargetMode="External"/><Relationship Id="rId30" Type="http://schemas.openxmlformats.org/officeDocument/2006/relationships/hyperlink" Target="https://pruportal.reincorporacion.gov.co/es/agencia/Paginas/anticorrupcion.aspx" TargetMode="External"/><Relationship Id="rId35" Type="http://schemas.openxmlformats.org/officeDocument/2006/relationships/hyperlink" Target="https://www.contratos.gov.co/consultas/inicioConsulta.do" TargetMode="External"/><Relationship Id="rId43" Type="http://schemas.openxmlformats.org/officeDocument/2006/relationships/hyperlink" Target="https://community.secop.gov.co/Public/Tendering/ContractNoticeManagement/Index?currentLanguage=es-CO&amp;Page=login&amp;Country=CO&amp;SkinName=CCE" TargetMode="External"/><Relationship Id="rId48" Type="http://schemas.openxmlformats.org/officeDocument/2006/relationships/hyperlink" Target="https://community.secop.gov.co/Public/Tendering/ContractNoticeManagement/Index?currentLanguage=es-CO&amp;Page=login&amp;Country=CO&amp;SkinName=CCE" TargetMode="External"/><Relationship Id="rId56" Type="http://schemas.openxmlformats.org/officeDocument/2006/relationships/hyperlink" Target="mailto:quejas@procuraduria.gov.co" TargetMode="External"/><Relationship Id="rId69"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mailto:eduardosanguinetti@reincorporacion.gov.co" TargetMode="External"/><Relationship Id="rId72"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funcionpublica.gov.co/eva/gestornormativo/norma.php?i=77216" TargetMode="External"/><Relationship Id="rId33" Type="http://schemas.openxmlformats.org/officeDocument/2006/relationships/hyperlink" Target="https://pruportal.reincorporacion.gov.co/es/agencia/Paginas/Informes-de-gestion.aspx" TargetMode="External"/><Relationship Id="rId38" Type="http://schemas.openxmlformats.org/officeDocument/2006/relationships/hyperlink" Target="https://www.fiduprevisora.com.co/convocatoria-abierta-no-002-de-2020-fcp/" TargetMode="External"/><Relationship Id="rId46" Type="http://schemas.openxmlformats.org/officeDocument/2006/relationships/hyperlink" Target="https://www.secop.gov.co/CO1ContractsManagement/Tendering/ProcurementContractEdit/View?docUniqueIdentifier=CO1.PCCNTR.2675742&amp;prevCtxUrl=https%3a%2f%2fwww.secop.gov.co%2fCO1ContractsManagement%2fTendering%2fProcurementContractManagement%2fIndex&amp;prevCtxLbl=Contratos" TargetMode="External"/><Relationship Id="rId59" Type="http://schemas.openxmlformats.org/officeDocument/2006/relationships/header" Target="header1.xml"/><Relationship Id="rId20" Type="http://schemas.openxmlformats.org/officeDocument/2006/relationships/hyperlink" Target="https://siipo.dnp.gov.co/" TargetMode="External"/><Relationship Id="rId41" Type="http://schemas.openxmlformats.org/officeDocument/2006/relationships/hyperlink" Target="https://community.secop.gov.co/Public/Tendering/ContractNoticeManagement/Index?currentLanguage=es-CO&amp;Page=login&amp;Country=CO&amp;SkinName=CCE" TargetMode="External"/><Relationship Id="rId54" Type="http://schemas.openxmlformats.org/officeDocument/2006/relationships/hyperlink" Target="mailto:cgr@contraloria.gov.co" TargetMode="External"/><Relationship Id="rId62" Type="http://schemas.openxmlformats.org/officeDocument/2006/relationships/theme" Target="theme/theme1.xm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funcionpublica.gov.co/eva/gestornormativo/norma.php?i=168050" TargetMode="External"/><Relationship Id="rId28" Type="http://schemas.openxmlformats.org/officeDocument/2006/relationships/hyperlink" Target="https://minvivienda.gov.co/sites/default/files/normativa/resolucion-0094-2021.pdf" TargetMode="External"/><Relationship Id="rId36" Type="http://schemas.openxmlformats.org/officeDocument/2006/relationships/hyperlink" Target="javascript:%20popUpSecop('/consultas/detalleProceso.do?numConstancia=18-4-7733643')" TargetMode="External"/><Relationship Id="rId49" Type="http://schemas.openxmlformats.org/officeDocument/2006/relationships/hyperlink" Target="mailto:celmirafrasser@reincorporacion.gov.co" TargetMode="External"/><Relationship Id="rId57" Type="http://schemas.openxmlformats.org/officeDocument/2006/relationships/hyperlink" Target="https://www.fiscalia.gov.co/colombia/servicios-de-informacion-al-ciudadano/donde-y-como-denunciar/" TargetMode="External"/><Relationship Id="rId10" Type="http://schemas.openxmlformats.org/officeDocument/2006/relationships/image" Target="media/image3.png"/><Relationship Id="rId31" Type="http://schemas.openxmlformats.org/officeDocument/2006/relationships/hyperlink" Target="https://pruportal.reincorporacion.gov.co/es/agencia/Paginas/Informes-de-rendicion-de-cuentas.aspx" TargetMode="External"/><Relationship Id="rId44" Type="http://schemas.openxmlformats.org/officeDocument/2006/relationships/hyperlink" Target="https://www.secop.gov.co/CO1ContractsManagement/Tendering/ProcurementContractEdit/View?docUniqueIdentifier=CO1.PCCNTR.2671748&amp;prevCtxUrl=https%3a%2f%2fwww.secop.gov.co%2fCO1ContractsManagement%2fTendering%2fProcurementContractManagement%2fIndex&amp;prevCtxLbl=Contratos" TargetMode="External"/><Relationship Id="rId52" Type="http://schemas.openxmlformats.org/officeDocument/2006/relationships/hyperlink" Target="mailto:oscarrey@reincorporacion.gov.co"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chart" Target="charts/chart1.xml"/><Relationship Id="rId39" Type="http://schemas.openxmlformats.org/officeDocument/2006/relationships/hyperlink" Target="https://www.secop.gov.co/CO1BusinessLine/Tendering/ContractNoticeView/Index?notice=CO1.NTC.1960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os\Documentos%20Javier\ARN\cuentas%20paz%202022\PMI%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111111111111122E-2"/>
                  <c:y val="-6.9444444444444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64-45E2-AB5B-4B1E44AE0966}"/>
                </c:ext>
              </c:extLst>
            </c:dLbl>
            <c:dLbl>
              <c:idx val="1"/>
              <c:layout>
                <c:manualLayout>
                  <c:x val="-5.0000000000000024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64-45E2-AB5B-4B1E44AE0966}"/>
                </c:ext>
              </c:extLst>
            </c:dLbl>
            <c:dLbl>
              <c:idx val="2"/>
              <c:layout>
                <c:manualLayout>
                  <c:x val="-3.888888888888889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64-45E2-AB5B-4B1E44AE0966}"/>
                </c:ext>
              </c:extLst>
            </c:dLbl>
            <c:dLbl>
              <c:idx val="3"/>
              <c:layout>
                <c:manualLayout>
                  <c:x val="-4.7222222222222276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64-45E2-AB5B-4B1E44AE0966}"/>
                </c:ext>
              </c:extLst>
            </c:dLbl>
            <c:dLbl>
              <c:idx val="4"/>
              <c:layout>
                <c:manualLayout>
                  <c:x val="-4.4444444444444495E-2"/>
                  <c:y val="-4.6296296296296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64-45E2-AB5B-4B1E44AE0966}"/>
                </c:ext>
              </c:extLst>
            </c:dLbl>
            <c:dLbl>
              <c:idx val="5"/>
              <c:layout>
                <c:manualLayout>
                  <c:x val="-3.888888888888899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64-45E2-AB5B-4B1E44AE0966}"/>
                </c:ext>
              </c:extLst>
            </c:dLbl>
            <c:dLbl>
              <c:idx val="6"/>
              <c:layout>
                <c:manualLayout>
                  <c:x val="-4.4444444444444543E-2"/>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64-45E2-AB5B-4B1E44AE0966}"/>
                </c:ext>
              </c:extLst>
            </c:dLbl>
            <c:dLbl>
              <c:idx val="7"/>
              <c:layout>
                <c:manualLayout>
                  <c:x val="-3.8888888888888994E-2"/>
                  <c:y val="-4.1666666666666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64-45E2-AB5B-4B1E44AE0966}"/>
                </c:ext>
              </c:extLst>
            </c:dLbl>
            <c:dLbl>
              <c:idx val="8"/>
              <c:layout>
                <c:manualLayout>
                  <c:x val="-2.7777777777778798E-3"/>
                  <c:y val="-1.8518518518518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264-45E2-AB5B-4B1E44AE0966}"/>
                </c:ext>
              </c:extLst>
            </c:dLbl>
            <c:dLbl>
              <c:idx val="9"/>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64-45E2-AB5B-4B1E44AE09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Hoja1!$A$1:$A$12</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Hoja1!$B$1:$B$12</c:f>
              <c:numCache>
                <c:formatCode>0%</c:formatCode>
                <c:ptCount val="12"/>
                <c:pt idx="0">
                  <c:v>0.87</c:v>
                </c:pt>
                <c:pt idx="1">
                  <c:v>0.88</c:v>
                </c:pt>
                <c:pt idx="2">
                  <c:v>0.88</c:v>
                </c:pt>
                <c:pt idx="3">
                  <c:v>0.88</c:v>
                </c:pt>
                <c:pt idx="4">
                  <c:v>0.89</c:v>
                </c:pt>
                <c:pt idx="5">
                  <c:v>0.89</c:v>
                </c:pt>
                <c:pt idx="6">
                  <c:v>0.89</c:v>
                </c:pt>
                <c:pt idx="7">
                  <c:v>0.89</c:v>
                </c:pt>
                <c:pt idx="8">
                  <c:v>0.89</c:v>
                </c:pt>
                <c:pt idx="9">
                  <c:v>0.88</c:v>
                </c:pt>
                <c:pt idx="10">
                  <c:v>0.88</c:v>
                </c:pt>
                <c:pt idx="11">
                  <c:v>0.89</c:v>
                </c:pt>
              </c:numCache>
            </c:numRef>
          </c:val>
          <c:smooth val="0"/>
          <c:extLst>
            <c:ext xmlns:c16="http://schemas.microsoft.com/office/drawing/2014/chart" uri="{C3380CC4-5D6E-409C-BE32-E72D297353CC}">
              <c16:uniqueId val="{0000000A-4264-45E2-AB5B-4B1E44AE0966}"/>
            </c:ext>
          </c:extLst>
        </c:ser>
        <c:dLbls>
          <c:showLegendKey val="0"/>
          <c:showVal val="0"/>
          <c:showCatName val="0"/>
          <c:showSerName val="0"/>
          <c:showPercent val="0"/>
          <c:showBubbleSize val="0"/>
        </c:dLbls>
        <c:marker val="1"/>
        <c:smooth val="0"/>
        <c:axId val="1168273936"/>
        <c:axId val="1168274352"/>
      </c:lineChart>
      <c:catAx>
        <c:axId val="116827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68274352"/>
        <c:crosses val="autoZero"/>
        <c:auto val="1"/>
        <c:lblAlgn val="ctr"/>
        <c:lblOffset val="100"/>
        <c:noMultiLvlLbl val="0"/>
      </c:catAx>
      <c:valAx>
        <c:axId val="116827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68273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3CFCSSYJ6V66-94-377</_dlc_DocId>
    <_dlc_DocIdUrl xmlns="6e2a57a2-9d48-4009-82e5-3fe89fb6c543">
      <Url>https://pruportal.reincorporacion.gov.co/es/agencia/_layouts/15/DocIdRedir.aspx?ID=3CFCSSYJ6V66-94-377</Url>
      <Description>3CFCSSYJ6V66-94-377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989FCC-72B0-4B82-AFE9-B340ADC3D855}"/>
</file>

<file path=customXml/itemProps2.xml><?xml version="1.0" encoding="utf-8"?>
<ds:datastoreItem xmlns:ds="http://schemas.openxmlformats.org/officeDocument/2006/customXml" ds:itemID="{4CE8D88F-3121-42EC-BB5D-6BD4F7BFEF34}"/>
</file>

<file path=customXml/itemProps3.xml><?xml version="1.0" encoding="utf-8"?>
<ds:datastoreItem xmlns:ds="http://schemas.openxmlformats.org/officeDocument/2006/customXml" ds:itemID="{3AD66C61-5AE6-4B09-A9EC-AFAFD444D137}"/>
</file>

<file path=customXml/itemProps4.xml><?xml version="1.0" encoding="utf-8"?>
<ds:datastoreItem xmlns:ds="http://schemas.openxmlformats.org/officeDocument/2006/customXml" ds:itemID="{7003642C-8C75-4D16-BB40-7B773BDD3F39}"/>
</file>

<file path=customXml/itemProps5.xml><?xml version="1.0" encoding="utf-8"?>
<ds:datastoreItem xmlns:ds="http://schemas.openxmlformats.org/officeDocument/2006/customXml" ds:itemID="{305B1877-3183-46CC-B537-CB642987CBFA}"/>
</file>

<file path=docProps/app.xml><?xml version="1.0" encoding="utf-8"?>
<Properties xmlns="http://schemas.openxmlformats.org/officeDocument/2006/extended-properties" xmlns:vt="http://schemas.openxmlformats.org/officeDocument/2006/docPropsVTypes">
  <Template>Normal</Template>
  <TotalTime>128</TotalTime>
  <Pages>70</Pages>
  <Words>24257</Words>
  <Characters>133417</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individual de paz 2021</dc:title>
  <dc:subject/>
  <dc:creator>Edinson Malagón Mayorga</dc:creator>
  <cp:keywords/>
  <dc:description/>
  <cp:lastModifiedBy>Wbiter Vanessa Bonilla Navia</cp:lastModifiedBy>
  <cp:revision>17</cp:revision>
  <dcterms:created xsi:type="dcterms:W3CDTF">2022-03-29T16:58:00Z</dcterms:created>
  <dcterms:modified xsi:type="dcterms:W3CDTF">2022-03-30T22:20:00Z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_dlc_DocIdItemGuid">
    <vt:lpwstr>9e1f1e2e-67b2-453f-bdbe-86e969dc8f3b</vt:lpwstr>
  </property>
</Properties>
</file>